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jc w:val="center"/>
        <w:pBdr>
          <w:top w:val="single" w:sz="4" w:space="1" w:color="000000"/>
          <w:bottom w:val="single" w:sz="4" w:space="1" w:color="000000"/>
          <w:left w:val="single" w:sz="4" w:space="1" w:color="000000"/>
          <w:right w:val="single" w:sz="4" w:space="1" w:color="000000"/>
        </w:pBdr>
      </w:pPr>
      <w:r>
        <w:rPr>
          <w:b/>
          <w:sz w:val="52"/>
        </w:rPr>
        <w:t>COTD 6/3/2026</w:t>
      </w:r>
    </w:p>
    <w:p>
      <w:pPr>
        <w:pStyle w:val="Heading3"/>
        <w:jc w:val="center"/>
      </w:pPr>
      <w:r>
        <w:rPr>
          <w:b/>
          <w:u w:val="single"/>
          <w:sz w:val="32"/>
        </w:rPr>
        <w:t xml:space="preserve">AT: Diabetes-induced right ventricular remodeling </w:t>
      </w:r>
    </w:p>
    <w:p>
      <w:pPr>
        <w:pStyle w:val="Heading4"/>
      </w:pPr>
      <w:r>
        <w:rPr>
          <w:b/>
          <w:sz w:val="26"/>
        </w:rPr>
        <w:t>Diabetes-induced right ventricular remodeling precedes left ventricular remodeling and occurs via a distinct fatty acid uptake pathway now editing the file. thsi editing is much faster but still not as fast as I'd like</w:t>
      </w:r>
    </w:p>
    <w:p>
      <w:r w:rsidRPr="00F4223E">
        <w:rPr>
          <w:rStyle w:val="Style13ptBold"/>
        </w:rPr>
        <w:t>Satyanarayana et al. 26</w:t>
      </w:r>
      <w:r>
        <w:t xml:space="preserve"> [Sushumna B. Satyanarayana1,2, </w:t>
      </w:r>
      <w:r w:rsidRPr="00F4223E">
        <w:rPr>
          <w:highlight w:val="yellow"/>
          <w:u w:val="single"/>
        </w:rPr>
        <w:t>Jaden S. Campbell1</w:t>
      </w:r>
      <w:r>
        <w:t xml:space="preserve">,2, Marjie P. Schmitt1,2, Jose E. Campos1,2, Rammohan Shukla1, Donald F. Smith3, Sreejayan Nair4 and Danielle R. Bruns1,2*, 2026, “Diabetes-induced right ventricular remodeling precedes left ventricular remodeling and occurs via a distinct fatty acid uptake pathway”, Cardiovascular Diabetology – Endocrinology Reports, </w:t>
      </w:r>
      <w:hyperlink r:id="rId5" w:history="1">
        <w:r w:rsidRPr="00892E40">
          <w:rPr>
            <w:rStyle w:val="Hyperlink"/>
          </w:rPr>
          <w:t>https://doi.org/10.1186/s40842-026-00287-3</w:t>
        </w:r>
      </w:hyperlink>
      <w:r>
        <w:t>, DOA 6/3/2026]</w:t>
      </w:r>
      <w:r w:rsidR="00A11714">
        <w:t>\jh</w:t>
      </w:r>
    </w:p>
    <w:p>
      <w:r>
        <w:rPr>
          <w:u w:val="single"/>
          <w:highlight w:val="yellow"/>
        </w:rPr>
        <w:t>Diabetes is a major</w:t>
      </w:r>
      <w:r>
        <w:rPr>
          <w:u w:val="single"/>
        </w:rPr>
        <w:t xml:space="preserve"> public health </w:t>
      </w:r>
      <w:r>
        <w:rPr>
          <w:u w:val="single"/>
          <w:highlight w:val="yellow"/>
        </w:rPr>
        <w:t>concern</w:t>
      </w:r>
      <w:r>
        <w:rPr>
          <w:u w:val="single"/>
        </w:rPr>
        <w:t xml:space="preserve">, with </w:t>
      </w:r>
      <w:r>
        <w:rPr>
          <w:u w:val="single"/>
          <w:highlight w:val="yellow"/>
        </w:rPr>
        <w:t>both type</w:t>
      </w:r>
      <w:r>
        <w:rPr>
          <w:u w:val="single"/>
        </w:rPr>
        <w:t xml:space="preserve"> 1 (T1D) and type 2 diabetes (T2D) </w:t>
      </w:r>
      <w:r>
        <w:rPr>
          <w:u w:val="single"/>
          <w:highlight w:val="yellow"/>
        </w:rPr>
        <w:t>result</w:t>
      </w:r>
      <w:r>
        <w:rPr>
          <w:u w:val="single"/>
        </w:rPr>
        <w:t xml:space="preserve">ing </w:t>
      </w:r>
      <w:r>
        <w:rPr>
          <w:u w:val="single"/>
          <w:highlight w:val="yellow"/>
        </w:rPr>
        <w:t>in</w:t>
      </w:r>
      <w:r>
        <w:rPr>
          <w:u w:val="single"/>
        </w:rPr>
        <w:t xml:space="preserve"> diabetic cardiomyopathy (DCM).</w:t>
      </w:r>
      <w:r>
        <w:rPr>
          <w:sz w:val="12"/>
        </w:rPr>
        <w:t xml:space="preserve"> </w:t>
      </w:r>
      <w:r>
        <w:rPr>
          <w:u w:val="single"/>
        </w:rPr>
        <w:t xml:space="preserve">The hallmark of DCM is </w:t>
      </w:r>
      <w:r>
        <w:rPr>
          <w:u w:val="single"/>
          <w:highlight w:val="yellow"/>
        </w:rPr>
        <w:t>metabolic inflexibility</w:t>
      </w:r>
      <w:r>
        <w:rPr>
          <w:u w:val="single"/>
        </w:rPr>
        <w:t xml:space="preserve">, characterized by </w:t>
      </w:r>
      <w:r>
        <w:rPr>
          <w:u w:val="single"/>
          <w:highlight w:val="yellow"/>
        </w:rPr>
        <w:t>excess</w:t>
      </w:r>
      <w:r>
        <w:rPr>
          <w:u w:val="single"/>
        </w:rPr>
        <w:t xml:space="preserve"> uptake of </w:t>
      </w:r>
      <w:r>
        <w:rPr>
          <w:u w:val="single"/>
          <w:highlight w:val="yellow"/>
        </w:rPr>
        <w:t>fatty acids</w:t>
      </w:r>
      <w:r>
        <w:rPr>
          <w:u w:val="single"/>
        </w:rPr>
        <w:t xml:space="preserve"> (FA). Elevated FA uptake results in </w:t>
      </w:r>
      <w:r>
        <w:rPr>
          <w:u w:val="single"/>
          <w:highlight w:val="yellow"/>
        </w:rPr>
        <w:t>an imbalance</w:t>
      </w:r>
      <w:r>
        <w:rPr>
          <w:u w:val="single"/>
        </w:rPr>
        <w:t xml:space="preserve"> between uptake and utilization </w:t>
      </w:r>
      <w:r>
        <w:rPr>
          <w:u w:val="single"/>
          <w:highlight w:val="yellow"/>
        </w:rPr>
        <w:t>of FA</w:t>
      </w:r>
      <w:r>
        <w:rPr>
          <w:u w:val="single"/>
        </w:rPr>
        <w:t xml:space="preserve">, leading to </w:t>
      </w:r>
      <w:r>
        <w:rPr>
          <w:u w:val="single"/>
          <w:highlight w:val="yellow"/>
        </w:rPr>
        <w:t>lipotoxicity, lipid accumulation</w:t>
      </w:r>
      <w:r>
        <w:rPr>
          <w:u w:val="single"/>
        </w:rPr>
        <w:t xml:space="preserve"> associated with DCM.</w:t>
      </w:r>
      <w:r>
        <w:rPr>
          <w:sz w:val="12"/>
        </w:rPr>
        <w:t xml:space="preserve"> Although DCM is defined by left ventricular (LV) dysfunction, </w:t>
      </w:r>
      <w:r>
        <w:rPr>
          <w:u w:val="single"/>
        </w:rPr>
        <w:t xml:space="preserve">recent work has demonstrated that </w:t>
      </w:r>
      <w:r>
        <w:rPr>
          <w:u w:val="single"/>
          <w:highlight w:val="yellow"/>
        </w:rPr>
        <w:t>the right ventricle</w:t>
      </w:r>
      <w:r>
        <w:rPr>
          <w:u w:val="single"/>
        </w:rPr>
        <w:t xml:space="preserve"> (RV) also </w:t>
      </w:r>
      <w:r>
        <w:rPr>
          <w:u w:val="single"/>
          <w:highlight w:val="yellow"/>
        </w:rPr>
        <w:t>remodels in diabetes</w:t>
      </w:r>
      <w:r>
        <w:rPr>
          <w:u w:val="single"/>
        </w:rPr>
        <w:t xml:space="preserve"> but </w:t>
      </w:r>
      <w:r>
        <w:rPr>
          <w:u w:val="single"/>
          <w:highlight w:val="yellow"/>
        </w:rPr>
        <w:t>through poorly understood mechanisms</w:t>
      </w:r>
      <w:r>
        <w:rPr>
          <w:sz w:val="12"/>
        </w:rPr>
        <w:t xml:space="preserve">. The temporal development of LV versus RV dysfunction is unclear, alongside the metabolic mechanisms that underlie ventricular-specific remodeling. </w:t>
      </w:r>
      <w:r>
        <w:rPr>
          <w:u w:val="single"/>
        </w:rPr>
        <w:t xml:space="preserve">Therefore, </w:t>
      </w:r>
      <w:r>
        <w:rPr>
          <w:u w:val="single"/>
          <w:highlight w:val="yellow"/>
        </w:rPr>
        <w:t>we</w:t>
      </w:r>
      <w:r>
        <w:rPr>
          <w:u w:val="single"/>
        </w:rPr>
        <w:t xml:space="preserve"> set out to </w:t>
      </w:r>
      <w:r>
        <w:rPr>
          <w:u w:val="single"/>
          <w:highlight w:val="yellow"/>
        </w:rPr>
        <w:t>quantify the temporal dynamics of</w:t>
      </w:r>
      <w:r>
        <w:rPr>
          <w:u w:val="single"/>
        </w:rPr>
        <w:t xml:space="preserve"> RV and LV </w:t>
      </w:r>
      <w:r>
        <w:rPr>
          <w:u w:val="single"/>
          <w:highlight w:val="yellow"/>
        </w:rPr>
        <w:t>remodeling in DCM</w:t>
      </w:r>
      <w:r>
        <w:rPr>
          <w:u w:val="single"/>
        </w:rPr>
        <w:t xml:space="preserve"> as well as </w:t>
      </w:r>
      <w:r>
        <w:rPr>
          <w:u w:val="single"/>
          <w:highlight w:val="yellow"/>
        </w:rPr>
        <w:t>to identify the mechanisms by which the RV uptakes FA</w:t>
      </w:r>
      <w:r>
        <w:rPr>
          <w:u w:val="single"/>
        </w:rPr>
        <w:t>.</w:t>
      </w:r>
      <w:r>
        <w:rPr>
          <w:sz w:val="12"/>
        </w:rPr>
        <w:t xml:space="preserve"> We utilized several mouse models of T2D as well as a large-animal pig model of T1D to gain mechanistic insight into RV remodeling. In two models of T2D, we show that RV remodeling begins early in disease pathogenesis, before changes in LV structure or function. </w:t>
      </w:r>
      <w:r>
        <w:rPr>
          <w:u w:val="single"/>
          <w:highlight w:val="yellow"/>
        </w:rPr>
        <w:t>We</w:t>
      </w:r>
      <w:r>
        <w:rPr>
          <w:u w:val="single"/>
        </w:rPr>
        <w:t xml:space="preserve"> quantified FA uptake across models of T1D and T2D, performed lipidomics and </w:t>
      </w:r>
      <w:r>
        <w:rPr>
          <w:u w:val="single"/>
          <w:highlight w:val="yellow"/>
        </w:rPr>
        <w:t>found that</w:t>
      </w:r>
      <w:r>
        <w:rPr>
          <w:u w:val="single"/>
        </w:rPr>
        <w:t xml:space="preserve"> the </w:t>
      </w:r>
      <w:r>
        <w:rPr>
          <w:u w:val="single"/>
          <w:highlight w:val="yellow"/>
        </w:rPr>
        <w:t>LV and RV accumulate different lipid species and that the mechanism</w:t>
      </w:r>
      <w:r>
        <w:rPr>
          <w:u w:val="single"/>
        </w:rPr>
        <w:t xml:space="preserve"> of uptake of FA </w:t>
      </w:r>
      <w:r>
        <w:rPr>
          <w:u w:val="single"/>
          <w:highlight w:val="yellow"/>
        </w:rPr>
        <w:t>is distinct</w:t>
      </w:r>
      <w:r>
        <w:rPr>
          <w:u w:val="single"/>
        </w:rPr>
        <w:t xml:space="preserve"> between the ventricles.</w:t>
      </w:r>
      <w:r>
        <w:rPr>
          <w:sz w:val="12"/>
        </w:rPr>
        <w:t xml:space="preserve"> Unlike the diabetic LV in which the primary FA transporter CD36 is robustly upregulated, CD36 does not appear to be involved in diabetic RV myopathy. </w:t>
      </w:r>
      <w:r>
        <w:rPr>
          <w:u w:val="single"/>
        </w:rPr>
        <w:t xml:space="preserve">Together, </w:t>
      </w:r>
      <w:r>
        <w:rPr>
          <w:u w:val="single"/>
          <w:highlight w:val="yellow"/>
        </w:rPr>
        <w:t>we show that the RV remodels</w:t>
      </w:r>
      <w:r>
        <w:rPr>
          <w:u w:val="single"/>
        </w:rPr>
        <w:t xml:space="preserve"> before and </w:t>
      </w:r>
      <w:r>
        <w:rPr>
          <w:u w:val="single"/>
          <w:highlight w:val="yellow"/>
        </w:rPr>
        <w:t>independently of the LV via distinct</w:t>
      </w:r>
      <w:r>
        <w:rPr>
          <w:u w:val="single"/>
        </w:rPr>
        <w:t xml:space="preserve"> FA metabolic </w:t>
      </w:r>
      <w:r>
        <w:rPr>
          <w:u w:val="single"/>
          <w:highlight w:val="yellow"/>
        </w:rPr>
        <w:t>mechanisms</w:t>
      </w:r>
      <w:r>
        <w:rPr>
          <w:u w:val="single"/>
        </w:rPr>
        <w:t>.</w:t>
      </w:r>
      <w:r>
        <w:rPr>
          <w:sz w:val="12"/>
        </w:rPr>
        <w:t xml:space="preserve"> Ventricle-specific targeting for DCM therapies is warranted.</w:t>
      </w:r>
    </w:p>
    <w:sectPr w:rsidR="005725DB" w:rsidRPr="00572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82613378736"/>
  </w:docVars>
  <w:rsids>
    <w:rsidRoot w:val="005649B8"/>
    <w:rsid w:val="00401745"/>
    <w:rsid w:val="00484F48"/>
    <w:rsid w:val="005649B8"/>
    <w:rsid w:val="005725DB"/>
    <w:rsid w:val="00A11714"/>
    <w:rsid w:val="00E12AE9"/>
    <w:rsid w:val="00F42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3D03"/>
  <w15:chartTrackingRefBased/>
  <w15:docId w15:val="{F7B300C9-60B4-44FA-A3EA-A19E4E343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223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422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22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422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F422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223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64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22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223E"/>
  </w:style>
  <w:style w:type="character" w:customStyle="1" w:styleId="Heading1Char">
    <w:name w:val="Heading 1 Char"/>
    <w:aliases w:val="Pocket Char"/>
    <w:basedOn w:val="DefaultParagraphFont"/>
    <w:link w:val="Heading1"/>
    <w:rsid w:val="00F422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422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4223E"/>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F4223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4223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64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B8"/>
    <w:rPr>
      <w:rFonts w:eastAsiaTheme="majorEastAsia" w:cstheme="majorBidi"/>
      <w:color w:val="272727" w:themeColor="text1" w:themeTint="D8"/>
    </w:rPr>
  </w:style>
  <w:style w:type="paragraph" w:styleId="Title">
    <w:name w:val="Title"/>
    <w:basedOn w:val="Normal"/>
    <w:next w:val="Normal"/>
    <w:link w:val="TitleChar"/>
    <w:uiPriority w:val="10"/>
    <w:qFormat/>
    <w:rsid w:val="00564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B8"/>
    <w:pPr>
      <w:spacing w:before="160"/>
      <w:jc w:val="center"/>
    </w:pPr>
    <w:rPr>
      <w:i/>
      <w:iCs/>
      <w:color w:val="404040" w:themeColor="text1" w:themeTint="BF"/>
    </w:rPr>
  </w:style>
  <w:style w:type="character" w:customStyle="1" w:styleId="QuoteChar">
    <w:name w:val="Quote Char"/>
    <w:basedOn w:val="DefaultParagraphFont"/>
    <w:link w:val="Quote"/>
    <w:uiPriority w:val="29"/>
    <w:rsid w:val="005649B8"/>
    <w:rPr>
      <w:i/>
      <w:iCs/>
      <w:color w:val="404040" w:themeColor="text1" w:themeTint="BF"/>
    </w:rPr>
  </w:style>
  <w:style w:type="paragraph" w:styleId="ListParagraph">
    <w:name w:val="List Paragraph"/>
    <w:basedOn w:val="Normal"/>
    <w:uiPriority w:val="34"/>
    <w:qFormat/>
    <w:rsid w:val="005649B8"/>
    <w:pPr>
      <w:ind w:left="720"/>
      <w:contextualSpacing/>
    </w:pPr>
  </w:style>
  <w:style w:type="character" w:styleId="IntenseEmphasis">
    <w:name w:val="Intense Emphasis"/>
    <w:basedOn w:val="DefaultParagraphFont"/>
    <w:uiPriority w:val="21"/>
    <w:qFormat/>
    <w:rsid w:val="005649B8"/>
    <w:rPr>
      <w:i/>
      <w:iCs/>
      <w:color w:val="0F4761" w:themeColor="accent1" w:themeShade="BF"/>
    </w:rPr>
  </w:style>
  <w:style w:type="paragraph" w:styleId="IntenseQuote">
    <w:name w:val="Intense Quote"/>
    <w:basedOn w:val="Normal"/>
    <w:next w:val="Normal"/>
    <w:link w:val="IntenseQuoteChar"/>
    <w:uiPriority w:val="30"/>
    <w:qFormat/>
    <w:rsid w:val="00564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9B8"/>
    <w:rPr>
      <w:i/>
      <w:iCs/>
      <w:color w:val="0F4761" w:themeColor="accent1" w:themeShade="BF"/>
    </w:rPr>
  </w:style>
  <w:style w:type="character" w:styleId="IntenseReference">
    <w:name w:val="Intense Reference"/>
    <w:basedOn w:val="DefaultParagraphFont"/>
    <w:uiPriority w:val="32"/>
    <w:qFormat/>
    <w:rsid w:val="005649B8"/>
    <w:rPr>
      <w:b/>
      <w:bCs/>
      <w:smallCaps/>
      <w:color w:val="0F4761" w:themeColor="accent1" w:themeShade="BF"/>
      <w:spacing w:val="5"/>
    </w:rPr>
  </w:style>
  <w:style w:type="character" w:styleId="Emphasis">
    <w:name w:val="Emphasis"/>
    <w:basedOn w:val="DefaultParagraphFont"/>
    <w:uiPriority w:val="8"/>
    <w:qFormat/>
    <w:rsid w:val="00F4223E"/>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F4223E"/>
    <w:rPr>
      <w:color w:val="auto"/>
      <w:u w:val="none"/>
    </w:rPr>
  </w:style>
  <w:style w:type="character" w:customStyle="1" w:styleId="Style13ptBold">
    <w:name w:val="Style 13 pt Bold"/>
    <w:aliases w:val="Cite"/>
    <w:basedOn w:val="DefaultParagraphFont"/>
    <w:uiPriority w:val="6"/>
    <w:qFormat/>
    <w:rsid w:val="00F4223E"/>
    <w:rPr>
      <w:b/>
      <w:bCs/>
      <w:sz w:val="26"/>
      <w:u w:val="none"/>
    </w:rPr>
  </w:style>
  <w:style w:type="character" w:customStyle="1" w:styleId="StyleUnderline">
    <w:name w:val="Style Underline"/>
    <w:aliases w:val="Underline"/>
    <w:basedOn w:val="DefaultParagraphFont"/>
    <w:uiPriority w:val="7"/>
    <w:qFormat/>
    <w:rsid w:val="00F4223E"/>
    <w:rPr>
      <w:b w:val="0"/>
      <w:sz w:val="22"/>
      <w:u w:val="single"/>
    </w:rPr>
  </w:style>
  <w:style w:type="character" w:styleId="Strong">
    <w:name w:val="Strong"/>
    <w:basedOn w:val="DefaultParagraphFont"/>
    <w:uiPriority w:val="22"/>
    <w:qFormat/>
    <w:rsid w:val="00F4223E"/>
    <w:rPr>
      <w:b/>
      <w:bCs/>
    </w:rPr>
  </w:style>
  <w:style w:type="character" w:styleId="BookTitle">
    <w:name w:val="Book Title"/>
    <w:basedOn w:val="DefaultParagraphFont"/>
    <w:uiPriority w:val="33"/>
    <w:qFormat/>
    <w:rsid w:val="00F4223E"/>
    <w:rPr>
      <w:b/>
      <w:bCs/>
      <w:i/>
      <w:iCs/>
      <w:spacing w:val="5"/>
    </w:rPr>
  </w:style>
  <w:style w:type="numbering" w:styleId="111111">
    <w:name w:val="Outline List 2"/>
    <w:basedOn w:val="NoList"/>
    <w:uiPriority w:val="99"/>
    <w:semiHidden/>
    <w:unhideWhenUsed/>
    <w:rsid w:val="00F4223E"/>
  </w:style>
  <w:style w:type="paragraph" w:styleId="Header">
    <w:name w:val="header"/>
    <w:basedOn w:val="Normal"/>
    <w:link w:val="HeaderChar"/>
    <w:uiPriority w:val="99"/>
    <w:semiHidden/>
    <w:rsid w:val="00F422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223E"/>
    <w:rPr>
      <w:rFonts w:ascii="Calibri" w:hAnsi="Calibri" w:cs="Calibri"/>
      <w:kern w:val="0"/>
      <w:sz w:val="22"/>
      <w:szCs w:val="22"/>
      <w14:ligatures w14:val="none"/>
    </w:rPr>
  </w:style>
  <w:style w:type="paragraph" w:styleId="Footer">
    <w:name w:val="footer"/>
    <w:basedOn w:val="Normal"/>
    <w:link w:val="FooterChar"/>
    <w:uiPriority w:val="99"/>
    <w:semiHidden/>
    <w:rsid w:val="00F422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223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4223E"/>
    <w:pPr>
      <w:spacing w:after="120"/>
    </w:pPr>
  </w:style>
  <w:style w:type="character" w:customStyle="1" w:styleId="BodyTextChar">
    <w:name w:val="Body Text Char"/>
    <w:basedOn w:val="DefaultParagraphFont"/>
    <w:link w:val="BodyText"/>
    <w:uiPriority w:val="99"/>
    <w:semiHidden/>
    <w:rsid w:val="00F4223E"/>
    <w:rPr>
      <w:rFonts w:ascii="Calibri" w:hAnsi="Calibri" w:cs="Calibri"/>
      <w:kern w:val="0"/>
      <w:sz w:val="22"/>
      <w:szCs w:val="22"/>
      <w14:ligatures w14:val="none"/>
    </w:rPr>
  </w:style>
  <w:style w:type="paragraph" w:styleId="NoSpacing">
    <w:name w:val="No Spacing"/>
    <w:link w:val="NoSpacingChar"/>
    <w:uiPriority w:val="99"/>
    <w:unhideWhenUsed/>
    <w:qFormat/>
    <w:rsid w:val="00F4223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4223E"/>
    <w:rPr>
      <w:rFonts w:ascii="Calibri" w:hAnsi="Calibri" w:cs="Calibri"/>
      <w:kern w:val="0"/>
      <w:sz w:val="22"/>
      <w:szCs w:val="22"/>
      <w14:ligatures w14:val="none"/>
    </w:rPr>
  </w:style>
  <w:style w:type="character" w:styleId="Hyperlink">
    <w:name w:val="Hyperlink"/>
    <w:basedOn w:val="DefaultParagraphFont"/>
    <w:uiPriority w:val="99"/>
    <w:unhideWhenUsed/>
    <w:rsid w:val="00F4223E"/>
    <w:rPr>
      <w:color w:val="467886" w:themeColor="hyperlink"/>
      <w:u w:val="single"/>
    </w:rPr>
  </w:style>
  <w:style w:type="character" w:styleId="UnresolvedMention">
    <w:name w:val="Unresolved Mention"/>
    <w:basedOn w:val="DefaultParagraphFont"/>
    <w:uiPriority w:val="99"/>
    <w:semiHidden/>
    <w:unhideWhenUsed/>
    <w:rsid w:val="00F42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86/s40842-026-00287-3"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TotalTime>
  <Pages>1</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4</cp:revision>
  <dcterms:created xsi:type="dcterms:W3CDTF">2026-06-03T17:10:00Z</dcterms:created>
  <dcterms:modified xsi:type="dcterms:W3CDTF">2026-06-03T17:16:00Z</dcterms:modified>
</cp:coreProperties>
</file>