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Own the Trench, Lease the Light</w:t>
      </w:r>
    </w:p>
    <w:p>
      <w:r>
        <w:t>A city that owns its water mains does not sell bottled water. It owns the pipe. That distinction is basically my whole position. City governments should build, own, and maintain the physical fibre that runs under their streets, and they should lease access to that fibre to any company willing to sell service over it, at published rates that are the same for everybody. What they should not do is become the internet company. Building the plant is a public works problem. Selling service is a customer service problem, and those are not the same kind of problem, which is why people arguing about municipal broadband so often seem to be arguing about two different things.</w:t>
      </w:r>
    </w:p>
    <w:p>
      <w:r>
        <w:t>Fibre in the ground lasts something like thirty to forty years. The equipment that lights it up — the switches, the optics, the box screwed to the side of a house — is obsolete in seven or eight. So a city that borrows thirty-year money to build a network is borrowing correctly for half of the system and incorrectly for the other half, and the half it is wrong about is the half that keeps needing money. Calloway Springs, which trenched its east side in the middle of the last decade, gets cited by both sides of this debate and does not settle it. The east side build there actually came in under its estimate, which nobody expected, and the council has been bringing it up ever since.</w:t>
      </w:r>
    </w:p>
    <w:p>
      <w:r>
        <w:t>The objection to open access is that nobody comes. You build the fibre, you publish the lease rates, and no retail provider shows up, because the companies that could show up already have networks of their own and no interest in paying rent to use somebody else's. Then the city has spent forty million dollars on an empty road. It is a fair thing to raise and it is the first thing my roommate said when I explained this to him. But the objection assumes the only possible tenants are the four or five companies everybody has heard of, and that assumption is doing a lot of quiet work.</w:t>
      </w:r>
    </w:p>
    <w:p>
      <w:r>
        <w:t>The table on page 49 is what convinced me. Szabo sorts the systems by who runs the retail layer instead of by who owns the plant, which seems obvious once somebody has done it and was apparently not how these things were usually counted. Sorted her way, the municipally owned but privately operated systems cluster at one end on every financial measure she reports, and three of the four systems in her sample that missed scheduled debt payments were systems where one public agency was doing both jobs at once (Szabo 49-50). The sample is not enormous. The pattern is still hard to miss, and it lines up with what you would expect if the two jobs really are different jobs.</w:t>
      </w:r>
    </w:p>
    <w:p>
      <w:r>
        <w:t>Cities already own the expensive part, which is the right to dig. A trench costs about the same to open whether you drop one conduit into it or four, the marginal cost is the plastic. Amberton passed an ordinance a few years ago requiring that any street opened for a water or sewer job get spare conduit laid in the same trench, and the incremental cost was small enough that the public works director stopped itemizing it separately. That is the cheapest fibre a city will ever own. Every time a street gets repaved without conduit going under it, the city has thrown away an opportunity it will have to pay full price to get back.</w:t>
      </w:r>
    </w:p>
    <w:p>
      <w:r>
        <w:t>Back to the electronics. When a private provider leases dark fibre from the city, that provider buys the optics, depreciates them on whatever schedule it wants, and replaces them when its own competitive position requires it, not when a council finds room in a budget cycle. The city is left holding the boring asset. The boring asset is the one that holds its value. Nobody has ever had to hold an emergency meeting because the conduit under Third Street became obsolete.</w:t>
      </w:r>
    </w:p>
    <w:p>
      <w:r>
        <w:t>Szabo, whose 2024 study of publicly financed fibre systems I have been leaning on, tracked how many retail providers each open-access network attracted after it lit up. The average was 2.6 within four years, and the systems in towns under twenty thousand people still averaged two (Szabo 51). Two is not a crowded market but it is not one, either, and it is more choice than most of these towns had before anyone put a shovel in the ground. So the empty road worry has an answer, at least in the places that have been measured.</w:t>
      </w:r>
    </w:p>
    <w:p>
      <w:r>
        <w:t>Beaumont's account of what happened at Wexford Falls is the strongest argument I found against a city running the service, and Beaumont is not an opponent of public ownership — he says up front that the fibre should have been built and that the town is better off having it (Beaumont 165). Everything that went wrong went wrong at the retail layer. The residential price was set by council vote, then frozen for three budget cycles during a contested election because raising it would have been politically impossible. The electronics refresh got deferred twice for the same reason. Support calls were being answered by two staff who also processed parking permits, and the average hold time in year six was over forty minutes (Beaumont 170-73). None of that is a failure of fibre. It is what happens when the price of a service and the staffing of a call center become items on a public agenda.</w:t>
      </w:r>
    </w:p>
    <w:p>
      <w:r>
        <w:t>Somebody will point out that a city leasing fibre still has to set a price, and that setting a price is exactly the political act that sank Wexford Falls. That is true but the two prices are not alike. A wholesale rate applies to a class of buyer, gets published in a tariff, and can be reviewed on a fixed schedule with a formula attached to it. Almost nobody who votes in a municipal election will ever look at it. A residential subscription price shows up on ten thousand bills a month and every one of those bills is a phone call to a council member. The pressure is not comparable.</w:t>
      </w:r>
    </w:p>
    <w:p>
      <w:r>
        <w:t>There is also the question of state law. Several legislatures have restricted cities from selling retail broadband service, and those statutes generally reach the selling, not the owning; a city that lays conduit and leases it out is on firmer legal ground than one signing up subscribers (Beaumont 176). That by itself is a reason to split the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