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64" w:lineRule="auto"/>
      </w:pPr>
      <w:r>
        <w:rPr>
          <w:rFonts w:ascii="Calibri" w:hAnsi="Calibri"/>
          <w:b/>
          <w:i w:val="0"/>
          <w:color w:val="0B2545"/>
          <w:sz w:val="44"/>
        </w:rPr>
        <w:t>EMPLOYER / REVIEWER PACKET</w:t>
      </w:r>
    </w:p>
    <w:p>
      <w:pPr>
        <w:spacing w:before="0" w:after="280" w:line="264" w:lineRule="auto"/>
      </w:pPr>
      <w:r>
        <w:rPr>
          <w:rFonts w:ascii="Calibri" w:hAnsi="Calibri"/>
          <w:b/>
          <w:i w:val="0"/>
          <w:color w:val="556576"/>
          <w:sz w:val="28"/>
        </w:rPr>
        <w:t>Japanese Kanji Anki Builder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1"/>
        </w:rPr>
        <w:t xml:space="preserve">Program identity: </w:t>
      </w:r>
      <w:r>
        <w:rPr>
          <w:rFonts w:ascii="Calibri" w:hAnsi="Calibri"/>
          <w:b w:val="0"/>
          <w:i w:val="0"/>
          <w:color w:val="111827"/>
          <w:sz w:val="21"/>
        </w:rPr>
        <w:t>Governed data pipeline / release-controlled content generation system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1"/>
        </w:rPr>
        <w:t xml:space="preserve">Distribution artifact: </w:t>
      </w:r>
      <w:r>
        <w:rPr>
          <w:rFonts w:ascii="Calibri" w:hAnsi="Calibri"/>
          <w:b w:val="0"/>
          <w:i w:val="0"/>
          <w:color w:val="111827"/>
          <w:sz w:val="21"/>
        </w:rPr>
        <w:t>JLPT kanji and vocabulary study content for Anki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1"/>
        </w:rPr>
        <w:t xml:space="preserve">Evidence mode: </w:t>
      </w:r>
      <w:r>
        <w:rPr>
          <w:rFonts w:ascii="Calibri" w:hAnsi="Calibri"/>
          <w:b w:val="0"/>
          <w:i w:val="0"/>
          <w:color w:val="111827"/>
          <w:sz w:val="21"/>
        </w:rPr>
        <w:t>Read-only document generation from live commands and tracked docs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1"/>
        </w:rPr>
        <w:t xml:space="preserve">Generated: </w:t>
      </w:r>
      <w:r>
        <w:rPr>
          <w:rFonts w:ascii="Calibri" w:hAnsi="Calibri"/>
          <w:b w:val="0"/>
          <w:i w:val="0"/>
          <w:color w:val="111827"/>
          <w:sz w:val="21"/>
        </w:rPr>
        <w:t>2026-06-11 America/Chicago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1"/>
        </w:rPr>
        <w:t xml:space="preserve">Repo commit: </w:t>
      </w:r>
      <w:r>
        <w:rPr>
          <w:rFonts w:ascii="Calibri" w:hAnsi="Calibri"/>
          <w:b w:val="0"/>
          <w:i w:val="0"/>
          <w:color w:val="111827"/>
          <w:sz w:val="21"/>
        </w:rPr>
        <w:t>a824d0bc data(words): expand n3 silver batches 35-41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1"/>
        </w:rPr>
        <w:t xml:space="preserve">Scope: </w:t>
      </w:r>
      <w:r>
        <w:rPr>
          <w:rFonts w:ascii="Calibri" w:hAnsi="Calibri"/>
          <w:b w:val="0"/>
          <w:i w:val="0"/>
          <w:color w:val="111827"/>
          <w:sz w:val="21"/>
        </w:rPr>
        <w:t>Whole program: kanji and word decks, proof/governance, release-trust boundaries</w:t>
      </w:r>
    </w:p>
    <w:p>
      <w:pPr>
        <w:spacing w:before="80" w:after="160" w:line="276" w:lineRule="auto"/>
        <w:ind w:left="120" w:right="120"/>
        <w:shd w:fill="E8EEF5"/>
      </w:pPr>
      <w:r>
        <w:rPr>
          <w:rFonts w:ascii="Calibri" w:hAnsi="Calibri"/>
          <w:b/>
          <w:i w:val="0"/>
          <w:color w:val="0B2545"/>
          <w:sz w:val="21"/>
        </w:rPr>
        <w:t xml:space="preserve">Bottom line: </w:t>
      </w:r>
      <w:r>
        <w:rPr>
          <w:rFonts w:ascii="Calibri" w:hAnsi="Calibri"/>
          <w:b w:val="0"/>
          <w:i w:val="0"/>
          <w:color w:val="111827"/>
          <w:sz w:val="21"/>
        </w:rPr>
        <w:t>This repository is not merely a deck. It is a governed content data system that keeps generated surfaces, review lanes, proof ledgers, media identity, source evidence, NLP support, and release claims separate.</w:t>
      </w:r>
    </w:p>
    <w:p>
      <w:pPr>
        <w:pStyle w:val="Heading1"/>
        <w:pageBreakBefore w:val="0"/>
      </w:pPr>
      <w:r>
        <w:t>1. Sixty-Second Read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A reviewer should understand the project as backend/data/product engineering: a controlled system that turns tracked contracts and curated local inputs into deterministic study artifacts, then protects trust claims through explicit gates and proof ledgers.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000"/>
        <w:gridCol w:w="3660"/>
      </w:tblGrid>
      <w:tr>
        <w:trPr>
          <w:tblHeader w:val="true"/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Signal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Verified state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Why it matters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System type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Governed data pipeline and release-controlled content generation system.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Evaluates as software/data architecture, not a static flashcard file.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Whole-program scale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2212 generated kanji rows and 1470 generated word rows across JLPT N5-N1.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The system covers multiple product surfaces and keeps denominators visible.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Locked scope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v0.2.0 freezes N5-N2 core kanji and N5-N4 words as scoped Obsidian-certified release content.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Release claims are bounded instead of implied across unfinished work.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Proof storage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Canonical JSONL ledger validates with 1969 events across 6 files.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Certification evidence is tracked, queryable, and replayable.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Support boundary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NLP governance passes, but it cannot certify cards or write tracked templates.</w:t>
            </w:r>
          </w:p>
        </w:tc>
        <w:tc>
          <w:tcPr>
            <w:tcW w:type="dxa" w:w="3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Automation supports review without becoming unchecked authority.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2. Architecture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The pipeline separates input authority, generated surfaces, review certification, proof storage, and release packaging. The diagrams below are derived from tracked architecture docs and live command posture.</w:t>
      </w:r>
    </w:p>
    <w:p>
      <w:r>
        <w:drawing>
          <wp:inline xmlns:a="http://schemas.openxmlformats.org/drawingml/2006/main" xmlns:pic="http://schemas.openxmlformats.org/drawingml/2006/picture">
            <wp:extent cx="5897880" cy="2686812"/>
            <wp:docPr id="1" name="Picture 1" title="Governed content generation pipeline" descr="Architecture diagram showing inputs, normalization, deterministic generation, review gates, canonical proof storage, authority boundaries, and release boundar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86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</w:pPr>
      <w:r>
        <w:rPr>
          <w:rFonts w:ascii="Calibri" w:hAnsi="Calibri"/>
          <w:b w:val="0"/>
          <w:i/>
          <w:color w:val="556576"/>
          <w:sz w:val="19"/>
        </w:rPr>
        <w:t>Figure 1. Governed content generation pipeline. Source: docs/system-architecture.md plus live closeout/proof commands.</w:t>
      </w:r>
    </w:p>
    <w:p>
      <w:r>
        <w:drawing>
          <wp:inline xmlns:a="http://schemas.openxmlformats.org/drawingml/2006/main" xmlns:pic="http://schemas.openxmlformats.org/drawingml/2006/picture">
            <wp:extent cx="5897880" cy="3211068"/>
            <wp:docPr id="2" name="Picture 2" title="Product surfaces and lane scope" descr="Diagram separating core kanji and word deck surfaces, Silver through Obsidian lanes, support-only automation, and visible unfinished backlo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e_scop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11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64" w:lineRule="auto"/>
      </w:pPr>
      <w:r>
        <w:rPr>
          <w:rFonts w:ascii="Calibri" w:hAnsi="Calibri"/>
          <w:b w:val="0"/>
          <w:i/>
          <w:color w:val="556576"/>
          <w:sz w:val="19"/>
        </w:rPr>
        <w:t>Figure 2. Product surfaces and lane scope. Counts use live commands from this run; stale tracked docs still need count refresh where noted.</w:t>
      </w:r>
    </w:p>
    <w:p>
      <w:pPr>
        <w:pStyle w:val="Heading1"/>
        <w:pageBreakBefore w:val="0"/>
      </w:pPr>
      <w:r>
        <w:t>3. Current Product State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80"/>
        <w:gridCol w:w="1050"/>
        <w:gridCol w:w="1050"/>
        <w:gridCol w:w="1150"/>
        <w:gridCol w:w="1150"/>
        <w:gridCol w:w="3680"/>
      </w:tblGrid>
      <w:tr>
        <w:trPr>
          <w:tblHeader w:val="true"/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Surface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Generated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Gold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Sapphire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Platinum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Obsidian / proof boundary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Kanji N5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80/80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80/80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80/80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80/80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Locked scope; Obsidian certified.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Kanji N4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212/212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212/212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212/212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212/212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Locked scope; Obsidian certified.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Kanji N3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341/341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341/341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341/341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341/341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Locked scope; Obsidian certified.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Kanji N2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349/349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349/349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349/349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349/349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Locked scope; Obsidian certified.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Kanji N1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1230/1230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1230/1230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328/1230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328/1230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No trusted Obsidian proof counted; 902 rows need current Sapphire and Platinum first.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Word N5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287/287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287/287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287/287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287/287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Locked scope; Obsidian certified.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Word N4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700/700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700/700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700/700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700/700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Locked scope; Obsidian certified.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Word N3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429/429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8/429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8/429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8/429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Forward backlog; Obsidian proof not recorded.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Word N2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28/28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0/28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0/28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0/28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Forward backlog; Obsidian not started.</w:t>
            </w:r>
          </w:p>
        </w:tc>
      </w:tr>
      <w:tr>
        <w:trPr>
          <w:cantSplit/>
        </w:trPr>
        <w:tc>
          <w:tcPr>
            <w:tcW w:type="dxa" w:w="1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Word N1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26/26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0/26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0/26</w:t>
            </w:r>
          </w:p>
        </w:tc>
        <w:tc>
          <w:tcPr>
            <w:tcW w:type="dxa" w:w="11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0/26</w:t>
            </w:r>
          </w:p>
        </w:tc>
        <w:tc>
          <w:tcPr>
            <w:tcW w:type="dxa" w:w="3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Forward backlog; Obsidian not started.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4. Proof And Governance State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500"/>
        <w:gridCol w:w="53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Check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Result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Proof ledger validation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1969 proof events across 6 JSONL files.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Kanji proof reconciliation N5-N2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982 ledger proofs bound; 0 mismatches.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Word proof reconciliation N5-N4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987 ledger proofs bound; 0 mismatches.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Kanji Obsidian certification N5-N2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982/982 Obsidian certified; 0 needs Obsidian; 0 blocked/failing.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Word Obsidian certification N5-N4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987/987 Obsidian certified; 0 needs Obsidian; 0 blocked/failing.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NLP governance gate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8 checks pass; certifies cards: no; writes tracked templates: no.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Performance/memory matrix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PASS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7 lanes pass as governance map; not a release-readiness claim.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Release trust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FAIL-CLOSED</w:t>
            </w:r>
          </w:p>
        </w:tc>
        <w:tc>
          <w:tcPr>
            <w:tcW w:type="dxa" w:w="5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Open release blockers: SEC-P0-004, PROD-REL-001, SEC-REQ-007.</w:t>
            </w:r>
          </w:p>
        </w:tc>
      </w:tr>
    </w:tbl>
    <w:p>
      <w:pPr>
        <w:spacing w:after="80"/>
      </w:pPr>
    </w:p>
    <w:p>
      <w:pPr>
        <w:spacing w:before="80" w:after="160" w:line="276" w:lineRule="auto"/>
        <w:ind w:left="120" w:right="120"/>
        <w:shd w:fill="FFF7E6"/>
      </w:pPr>
      <w:r>
        <w:rPr>
          <w:rFonts w:ascii="Calibri" w:hAnsi="Calibri"/>
          <w:b/>
          <w:i w:val="0"/>
          <w:color w:val="925E00"/>
          <w:sz w:val="21"/>
        </w:rPr>
        <w:t xml:space="preserve">Important limitation: </w:t>
      </w:r>
      <w:r>
        <w:rPr>
          <w:rFonts w:ascii="Calibri" w:hAnsi="Calibri"/>
          <w:b w:val="0"/>
          <w:i w:val="0"/>
          <w:color w:val="111827"/>
          <w:sz w:val="21"/>
        </w:rPr>
        <w:t>The proof ledger and Obsidian status commands certify scoped content proof only. They do not prove APKG import, mobile behavior, accessibility, listening quality, hosted CI status, source-evidence depth completion, or broader release readiness.</w:t>
      </w:r>
    </w:p>
    <w:p>
      <w:pPr>
        <w:pStyle w:val="Heading1"/>
        <w:pageBreakBefore/>
      </w:pPr>
      <w:r>
        <w:t>5. Word Reading And Expansion Posture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00"/>
        <w:gridCol w:w="1100"/>
        <w:gridCol w:w="950"/>
        <w:gridCol w:w="1800"/>
        <w:gridCol w:w="1650"/>
        <w:gridCol w:w="3060"/>
      </w:tblGrid>
      <w:tr>
        <w:trPr>
          <w:tblHeader w:val="true"/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Level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Inventory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Built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Readiness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Reading coverage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Notes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287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287/287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ready; deferred variants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67.7% (233/344)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Active triage cleared; exact command label preserved in appendix.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N4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700/700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ready; deferred variants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76.7% (579/755)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Active triage cleared; exact command label preserved in appendix.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429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429/429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incomplete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34.9% (413/1184)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Silver expansion exists; forward review lanes are 8/429.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N2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28/28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incomplete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5.4% (56/1045)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Forward review lanes not started.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N1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26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26/26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incomplete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1.3% (41/3274)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7"/>
              </w:rPr>
              <w:t>Forward review lanes not started.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6. Explicit Limitations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Limitation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Verified handling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Tracked-doc count drift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docs/employer-overview.md and docs/system-architecture.md still say 1400 word rows. Live commands now show 1470. Update tracked docs before sending them as the sole external evidence.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Generated artifact dirtiness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git status is not clean because generated outputs/ artifacts exist. Tracked source excluding outputs remains clean.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Release readiness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security:release-trust fails closed on two high/critical release-blocker risks and one unimplemented release-blocker requirement.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Manual QA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APKG import, mobile, accessibility, listening, and managed-media review are not proven by these commands.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NLP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NLP artifacts are support-only. Passing NLP governance does not certify a card or mutate tracked templates.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Unfinished lanes</w:t>
            </w:r>
          </w:p>
        </w:tc>
        <w:tc>
          <w:tcPr>
            <w:tcW w:type="dxa" w:w="7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Expected coverage failures remain visible for N1 kanji Sapphire/Platinum and N3/N2/N1 word Gold/Sapphire/Platinum.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7. Reviewer Route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Use this packet as an orientation layer, then verify with the commands in the appendix. The strongest tracked human-facing docs are README.md, docs/employer-overview.md, docs/system-architecture.md, docs/releases/v0.2.0-scoped-obsidian-lock.md, docs/product-exit-criteria.md, docs/verification.md, and docs/release-process.md.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111827"/>
          <w:sz w:val="22"/>
        </w:rPr>
        <w:t>For a hiring reviewer, the most important engineering signal is not the existence of cards. It is the system's refusal to collapse generated output, structural checks, learner-surface inspection, proof-ledger certification, and release readiness into one vague claim.</w:t>
      </w:r>
    </w:p>
    <w:p>
      <w:pPr>
        <w:pStyle w:val="Heading1"/>
        <w:pageBreakBefore/>
      </w:pPr>
      <w:r>
        <w:t>Appendix A. Live Command Evidence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500"/>
        <w:gridCol w:w="1600"/>
        <w:gridCol w:w="4260"/>
      </w:tblGrid>
      <w:tr>
        <w:trPr>
          <w:tblHeader w:val="true"/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Command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Classification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Packet use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 status --short --branch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main tracking origin/main; generated outputs/ present.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 status --short --branch -- . :(exclude)outputs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Tracked source clean when generated outputs are excluded.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 log -1 --oneline --decorate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a824d0bc data(words): expand n3 silver batches 35-41.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git ls-remote --heads origin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Remote heads show main at a824d0bc5ee8f405cf3aacf2e00ac111251b0cf7.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deck:closeout -- --levels=5,4,3,2,1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 / expected gaps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Reports whole-program lane counts; expected coverage failures remain visible.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data:obsidian:proof:validate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1969 proof events, 6 files.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data:obsidian:proof:reconcile -- --levels=5,4,3,2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982 kanji proofs bound, 0 mismatches.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data:obsidian:proof:reconcile -- --deck-kind=word --levels=5,4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987 word proofs bound, 0 mismatches.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deck:kanji:obsidian:certify-status -- --levels=5,4,3,2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982/982 certified for locked kanji scope.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deck:words:obsidian:certify-status -- --levels=5,4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987/987 certified for locked word scope.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nlp:governance-gate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8 checks pass; support-only boundaries explicit.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perf:memory:matrix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 governance lanes pass; benchmark authority remains separate.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security:release-trust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EXPECTED FAIL-CLOSED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SEC-P0-004, PROD-REL-001, and SEC-REQ-007 remain blockers.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deck:words:completion:n5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N5 ready_with_deferred_variants; reading coverage 67.7%.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deck:words:completion:n4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N4 ready_with_deferred_variants; reading coverage 76.7%.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deck:words:completion:n3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 / incomplete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N3 generated 429/429; reading coverage 34.9%; forward lanes 8/429.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deck:words:completion:n2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 / incomplete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N2 generated 28/28; reading coverage 5.4%; forward lanes not started.</w:t>
            </w:r>
          </w:p>
        </w:tc>
      </w:tr>
      <w:tr>
        <w:trPr>
          <w:cantSplit/>
        </w:trP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npm run deck:words:completion:n1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PASS / incomplete</w:t>
            </w:r>
          </w:p>
        </w:tc>
        <w:tc>
          <w:tcPr>
            <w:tcW w:type="dxa" w:w="4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N1 generated 26/26; reading coverage 1.3%; forward lanes not started.</w:t>
            </w:r>
          </w:p>
        </w:tc>
      </w:tr>
    </w:tbl>
    <w:p>
      <w:pPr>
        <w:spacing w:after="80"/>
      </w:pPr>
    </w:p>
    <w:p>
      <w:pPr>
        <w:pStyle w:val="Heading1"/>
        <w:pageBreakBefore w:val="0"/>
      </w:pPr>
      <w:r>
        <w:t>Appendix B. Tracked Document Sources Read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Source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How used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README.md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Project identity, authority boundary, review tiers, current baseline, source-of-truth map.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docs/employer-overview.md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Employer-facing framing; count drift noted against live commands.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docs/system-architecture.md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Architecture maps and lane authority model; count drift noted against live commands.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docs/releases/v0.2.0-scoped-obsidian-lock.md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Frozen release scope and release-ready caveats.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package.json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Command inventory and program description.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outputs/spreadsheets-whole-program-governance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Prior workbook/export contract and visual dashboard previews.</w:t>
            </w:r>
          </w:p>
        </w:tc>
      </w:tr>
    </w:tbl>
    <w:p>
      <w:pPr>
        <w:spacing w:after="80"/>
      </w:pPr>
    </w:p>
    <w:p>
      <w:pPr>
        <w:spacing w:before="0" w:after="80" w:line="264" w:lineRule="auto"/>
      </w:pPr>
      <w:r>
        <w:rPr>
          <w:rFonts w:ascii="Calibri" w:hAnsi="Calibri"/>
          <w:b w:val="0"/>
          <w:i/>
          <w:color w:val="556576"/>
          <w:sz w:val="19"/>
        </w:rPr>
        <w:t>Boundary statement: This packet is an evidence-backed orientation artifact. It does not certify new cards, append proof, change lane counts, update tracked docs, approve release readiness, or replace rerunning the commands above at decision time.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/>
        <w:b w:val="0"/>
        <w:i w:val="0"/>
        <w:color w:val="556576"/>
        <w:sz w:val="17"/>
      </w:rPr>
      <w:t>Generated evidence packet - not a release certificate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/>
        <w:b w:val="0"/>
        <w:i w:val="0"/>
        <w:color w:val="556576"/>
        <w:sz w:val="18"/>
      </w:rPr>
      <w:t>Japanese Kanji Builder - Employer/Reviewer Packet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