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02AF3" w14:textId="77777777" w:rsidR="00D30E77" w:rsidRDefault="00D30E77">
      <w:pPr>
        <w:spacing w:before="400"/>
      </w:pPr>
    </w:p>
    <w:p w14:paraId="19AC9AE0" w14:textId="77777777" w:rsidR="00D30E77" w:rsidRDefault="00000000">
      <w:pPr>
        <w:spacing w:after="20"/>
        <w:jc w:val="center"/>
      </w:pPr>
      <w:r>
        <w:rPr>
          <w:b/>
          <w:bCs/>
          <w:color w:val="666666"/>
          <w:sz w:val="32"/>
          <w:szCs w:val="32"/>
        </w:rPr>
        <w:t>CREDIT ANALYSIS</w:t>
      </w:r>
    </w:p>
    <w:p w14:paraId="0DBE3AC0" w14:textId="77777777" w:rsidR="00D30E77" w:rsidRDefault="00000000">
      <w:pPr>
        <w:spacing w:after="40"/>
        <w:jc w:val="center"/>
      </w:pPr>
      <w:r>
        <w:rPr>
          <w:b/>
          <w:bCs/>
          <w:color w:val="1F3864"/>
          <w:sz w:val="56"/>
          <w:szCs w:val="56"/>
        </w:rPr>
        <w:t>ALSTOM SA</w:t>
      </w:r>
    </w:p>
    <w:p w14:paraId="55E09424" w14:textId="77777777" w:rsidR="00D30E77" w:rsidRDefault="00000000">
      <w:pPr>
        <w:spacing w:after="200"/>
        <w:jc w:val="center"/>
      </w:pPr>
      <w:r>
        <w:rPr>
          <w:color w:val="666666"/>
          <w:sz w:val="21"/>
          <w:szCs w:val="21"/>
        </w:rPr>
        <w:t>Ticker: ALO | Euronext Paris  |  Full Credit Analysis | FY 2024/25 Reference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30E77" w14:paraId="7B9BE102" w14:textId="77777777">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120" w:type="dxa"/>
              <w:left w:w="120" w:type="dxa"/>
              <w:bottom w:w="120" w:type="dxa"/>
              <w:right w:w="120" w:type="dxa"/>
            </w:tcMar>
          </w:tcPr>
          <w:p w14:paraId="23A0125B" w14:textId="77777777" w:rsidR="00D30E77" w:rsidRDefault="00000000">
            <w:pPr>
              <w:jc w:val="center"/>
            </w:pPr>
            <w:r>
              <w:rPr>
                <w:b/>
                <w:bCs/>
                <w:color w:val="FFFFFF"/>
                <w:sz w:val="20"/>
                <w:szCs w:val="20"/>
              </w:rPr>
              <w:t>#2 Globally</w:t>
            </w:r>
          </w:p>
          <w:p w14:paraId="4EECE867" w14:textId="77777777" w:rsidR="00D30E77" w:rsidRDefault="00000000">
            <w:pPr>
              <w:jc w:val="center"/>
            </w:pPr>
            <w:r>
              <w:rPr>
                <w:color w:val="BDD7EE"/>
                <w:sz w:val="19"/>
                <w:szCs w:val="19"/>
              </w:rPr>
              <w:t>Rail Equipment (post-CRRC)</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20" w:type="dxa"/>
              <w:bottom w:w="120" w:type="dxa"/>
              <w:right w:w="120" w:type="dxa"/>
            </w:tcMar>
          </w:tcPr>
          <w:p w14:paraId="719C8BDC" w14:textId="77777777" w:rsidR="00D30E77" w:rsidRDefault="00000000">
            <w:pPr>
              <w:jc w:val="center"/>
            </w:pPr>
            <w:r>
              <w:rPr>
                <w:b/>
                <w:bCs/>
                <w:color w:val="FFFFFF"/>
                <w:sz w:val="20"/>
                <w:szCs w:val="20"/>
              </w:rPr>
              <w:t>€18.5B Revenue</w:t>
            </w:r>
          </w:p>
          <w:p w14:paraId="1DAE6BF6" w14:textId="77777777" w:rsidR="00D30E77" w:rsidRDefault="00000000">
            <w:pPr>
              <w:jc w:val="center"/>
            </w:pPr>
            <w:r>
              <w:rPr>
                <w:color w:val="BDD7EE"/>
                <w:sz w:val="19"/>
                <w:szCs w:val="19"/>
              </w:rPr>
              <w:t>+6.6% organic FY24/25</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120" w:type="dxa"/>
              <w:left w:w="120" w:type="dxa"/>
              <w:bottom w:w="120" w:type="dxa"/>
              <w:right w:w="120" w:type="dxa"/>
            </w:tcMar>
          </w:tcPr>
          <w:p w14:paraId="47708B91" w14:textId="77777777" w:rsidR="00D30E77" w:rsidRDefault="00000000">
            <w:pPr>
              <w:jc w:val="center"/>
            </w:pPr>
            <w:r>
              <w:rPr>
                <w:b/>
                <w:bCs/>
                <w:color w:val="FFFFFF"/>
                <w:sz w:val="20"/>
                <w:szCs w:val="20"/>
              </w:rPr>
              <w:t>€100B+ Backlog</w:t>
            </w:r>
          </w:p>
          <w:p w14:paraId="43A7134A" w14:textId="77777777" w:rsidR="00D30E77" w:rsidRDefault="00000000">
            <w:pPr>
              <w:jc w:val="center"/>
            </w:pPr>
            <w:r>
              <w:rPr>
                <w:color w:val="BDD7EE"/>
                <w:sz w:val="19"/>
                <w:szCs w:val="19"/>
              </w:rPr>
              <w:t>5+ years visibility</w:t>
            </w:r>
          </w:p>
        </w:tc>
      </w:tr>
    </w:tbl>
    <w:p w14:paraId="261415D8" w14:textId="77777777" w:rsidR="00D30E77" w:rsidRDefault="00D30E7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0E77" w14:paraId="6954EFAC" w14:textId="77777777">
        <w:tc>
          <w:tcPr>
            <w:tcW w:w="0" w:type="auto"/>
            <w:tcBorders>
              <w:top w:val="single" w:sz="1" w:space="0" w:color="CCCCCC"/>
              <w:left w:val="single" w:sz="1" w:space="0" w:color="CCCCCC"/>
              <w:bottom w:val="single" w:sz="1" w:space="0" w:color="CCCCCC"/>
              <w:right w:val="single" w:sz="1" w:space="0" w:color="CCCCCC"/>
            </w:tcBorders>
            <w:shd w:val="clear" w:color="auto" w:fill="1F3864"/>
            <w:tcMar>
              <w:top w:w="200" w:type="dxa"/>
              <w:left w:w="400" w:type="dxa"/>
              <w:bottom w:w="200" w:type="dxa"/>
              <w:right w:w="400" w:type="dxa"/>
            </w:tcMar>
          </w:tcPr>
          <w:p w14:paraId="6B96CC91" w14:textId="77777777" w:rsidR="00D30E77" w:rsidRDefault="00000000">
            <w:pPr>
              <w:jc w:val="center"/>
            </w:pPr>
            <w:r>
              <w:rPr>
                <w:i/>
                <w:iCs/>
                <w:color w:val="FFFFFF"/>
              </w:rPr>
              <w:t>Successful turnaround case — from negative FCF/credit watch to investment grade restored</w:t>
            </w:r>
          </w:p>
          <w:p w14:paraId="1332D35C" w14:textId="77777777" w:rsidR="00D30E77" w:rsidRDefault="00D30E77">
            <w:pPr>
              <w:spacing w:before="40"/>
            </w:pPr>
          </w:p>
          <w:p w14:paraId="1FE32D7E" w14:textId="77777777" w:rsidR="00D30E77" w:rsidRDefault="00000000">
            <w:pPr>
              <w:jc w:val="center"/>
            </w:pPr>
            <w:r>
              <w:rPr>
                <w:color w:val="BDD7EE"/>
                <w:sz w:val="20"/>
                <w:szCs w:val="20"/>
              </w:rPr>
              <w:t>Jeremie Taranto &amp; Elie Juvenspan  |  Itaú Bank Capstone  |  April 2026</w:t>
            </w:r>
          </w:p>
        </w:tc>
      </w:tr>
    </w:tbl>
    <w:p w14:paraId="7A7B7C76" w14:textId="77777777" w:rsidR="00D30E77" w:rsidRDefault="00000000">
      <w:r>
        <w:br w:type="page"/>
      </w:r>
    </w:p>
    <w:p w14:paraId="6E62B90B" w14:textId="77777777" w:rsidR="00D30E77" w:rsidRDefault="00000000">
      <w:pPr>
        <w:pStyle w:val="Heading1"/>
        <w:pBdr>
          <w:bottom w:val="single" w:sz="6" w:space="1" w:color="2E75B6"/>
        </w:pBdr>
        <w:shd w:val="clear" w:color="auto" w:fill="1F3864"/>
        <w:spacing w:before="0"/>
        <w:ind w:left="180" w:right="180"/>
      </w:pPr>
      <w:r>
        <w:lastRenderedPageBreak/>
        <w:t>Executive Summary — Credit Opinion</w:t>
      </w:r>
    </w:p>
    <w:p w14:paraId="5C61D6B4" w14:textId="77777777" w:rsidR="00D30E77" w:rsidRDefault="00000000">
      <w:pPr>
        <w:spacing w:before="60" w:after="80"/>
      </w:pPr>
      <w:r>
        <w:t>This analysis covers Alstom SA, the world's second-largest rail equipment manufacturer (after Chinese state-owned CRRC) and Europe's clear leader in rolling stock, signalling, and rail services. The FY2024/25 results (fiscal year ended 31 March 2025) demonstrate a successfully executed turnaround: net debt cut from €2.99 billion to €434 million in twelve months, free cash flow recovered from −€557 million to +€502 million, and Moody's affirmed the Baa3 investment-grade rating with a stable outlook in May 2025 after a stretch on negative outlook through 2023-2024.</w:t>
      </w:r>
    </w:p>
    <w:p w14:paraId="30768D09" w14:textId="77777777" w:rsidR="00D30E77" w:rsidRDefault="00000000">
      <w:pPr>
        <w:spacing w:before="60" w:after="80"/>
      </w:pPr>
      <w:r>
        <w:t>Alstom is the most instructive credit case in this series for understanding a turnaround story. Unlike Atacadão (steady deleveraging from a manageable starting point) or Vivo (consistently strong credit), Alstom went through a genuine credit crisis in 2023 following the Bombardier Transportation integration and emerged investment grade. The lessons from this recovery — speed of deleveraging plan execution, hybrid equity issuance for ratings preservation, divestiture timing — are directly applicable to credit committee decisions on companies at similar inflection points.</w:t>
      </w:r>
    </w:p>
    <w:p w14:paraId="4F0D5D59"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0E77" w14:paraId="288319DE" w14:textId="77777777">
        <w:tc>
          <w:tcPr>
            <w:tcW w:w="0" w:type="auto"/>
            <w:tcBorders>
              <w:top w:val="single" w:sz="1" w:space="0" w:color="CCCCCC"/>
              <w:left w:val="single" w:sz="1" w:space="0" w:color="CCCCCC"/>
              <w:bottom w:val="single" w:sz="1" w:space="0" w:color="CCCCCC"/>
              <w:right w:val="single" w:sz="1" w:space="0" w:color="CCCCCC"/>
            </w:tcBorders>
            <w:shd w:val="clear" w:color="auto" w:fill="E2EFDA"/>
            <w:tcMar>
              <w:top w:w="200" w:type="dxa"/>
              <w:left w:w="300" w:type="dxa"/>
              <w:bottom w:w="200" w:type="dxa"/>
              <w:right w:w="300" w:type="dxa"/>
            </w:tcMar>
          </w:tcPr>
          <w:p w14:paraId="4EC2F952" w14:textId="77777777" w:rsidR="00D30E77" w:rsidRDefault="00000000">
            <w:pPr>
              <w:jc w:val="center"/>
            </w:pPr>
            <w:r>
              <w:rPr>
                <w:b/>
                <w:bCs/>
                <w:color w:val="375623"/>
                <w:sz w:val="26"/>
                <w:szCs w:val="26"/>
              </w:rPr>
              <w:t>OVERALL CREDIT VIEW: LOW-MODERATE RISK / INVESTMENT GRADE</w:t>
            </w:r>
          </w:p>
          <w:p w14:paraId="28E39E66" w14:textId="77777777" w:rsidR="00D30E77" w:rsidRDefault="00D30E77">
            <w:pPr>
              <w:spacing w:before="60"/>
            </w:pPr>
          </w:p>
          <w:p w14:paraId="3F408034" w14:textId="77777777" w:rsidR="00D30E77" w:rsidRDefault="00000000">
            <w:r>
              <w:rPr>
                <w:sz w:val="21"/>
                <w:szCs w:val="21"/>
              </w:rPr>
              <w:t>Alstom is a recovered credit. Net debt of €434M against €1.18B adjusted EBIT (0.4x), free cash flow of €502M, a €100B+ backlog providing 5+ years of revenue visibility, and Moody's Baa3 Stable rating place the company solidly in investment grade. The primary remaining risks are operational rather than financial: rolling stock project execution against supply chain headwinds, completion of legacy Bombardier contracts at lower margins, and working capital volatility on long-cycle infrastructure contracts. Recommended for credit extension at standard investment-grade pricing with covenant protections around large M&amp;A transactions to prevent recurrence of the 2021-2023 stress cycle.</w:t>
            </w:r>
          </w:p>
        </w:tc>
      </w:tr>
    </w:tbl>
    <w:p w14:paraId="48841E5C"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30E77" w14:paraId="1DEC64B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0F8D788E" w14:textId="77777777" w:rsidR="00D30E77" w:rsidRDefault="00000000">
            <w:r>
              <w:rPr>
                <w:b/>
                <w:bCs/>
                <w:color w:val="FFFFFF"/>
                <w:sz w:val="20"/>
                <w:szCs w:val="20"/>
              </w:rPr>
              <w:t>KPI / 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41569DDA" w14:textId="77777777" w:rsidR="00D30E77" w:rsidRDefault="00000000">
            <w:r>
              <w:rPr>
                <w:b/>
                <w:bCs/>
                <w:color w:val="FFFFFF"/>
                <w:sz w:val="20"/>
                <w:szCs w:val="20"/>
              </w:rPr>
              <w:t>Value (FY2024/25)</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2F28BDD" w14:textId="77777777" w:rsidR="00D30E77" w:rsidRDefault="00000000">
            <w:r>
              <w:rPr>
                <w:b/>
                <w:bCs/>
                <w:color w:val="FFFFFF"/>
                <w:sz w:val="20"/>
                <w:szCs w:val="20"/>
              </w:rPr>
              <w:t>Commentary</w:t>
            </w:r>
          </w:p>
        </w:tc>
      </w:tr>
      <w:tr w:rsidR="00D30E77" w14:paraId="47C07B0D"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0DFB81D" w14:textId="77777777" w:rsidR="00D30E77" w:rsidRDefault="00000000">
            <w:r>
              <w:rPr>
                <w:b/>
                <w:bCs/>
                <w:sz w:val="20"/>
                <w:szCs w:val="20"/>
              </w:rPr>
              <w:t>Revenue (FY24/25)</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1A6F3E5" w14:textId="77777777" w:rsidR="00D30E77" w:rsidRDefault="00000000">
            <w:pPr>
              <w:jc w:val="center"/>
            </w:pPr>
            <w:r>
              <w:rPr>
                <w:sz w:val="20"/>
                <w:szCs w:val="20"/>
              </w:rPr>
              <w:t>€18.5 billion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CE77D59" w14:textId="77777777" w:rsidR="00D30E77" w:rsidRDefault="00000000">
            <w:r>
              <w:rPr>
                <w:sz w:val="20"/>
                <w:szCs w:val="20"/>
              </w:rPr>
              <w:t>+5% reported, +6.6% organic. Order intake €19.8B (+4.7% YoY). Book-to-bill ratio 1.1.</w:t>
            </w:r>
          </w:p>
        </w:tc>
      </w:tr>
      <w:tr w:rsidR="00D30E77" w14:paraId="251FDD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E3D72A5" w14:textId="77777777" w:rsidR="00D30E77" w:rsidRDefault="00000000">
            <w:r>
              <w:rPr>
                <w:b/>
                <w:bCs/>
                <w:sz w:val="20"/>
                <w:szCs w:val="20"/>
              </w:rPr>
              <w:t>Adjusted EBIT (FY24/25)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640460" w14:textId="77777777" w:rsidR="00D30E77" w:rsidRDefault="00000000">
            <w:pPr>
              <w:jc w:val="center"/>
            </w:pPr>
            <w:r>
              <w:rPr>
                <w:sz w:val="20"/>
                <w:szCs w:val="20"/>
              </w:rPr>
              <w:t>€1,177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608A7F2" w14:textId="77777777" w:rsidR="00D30E77" w:rsidRDefault="00000000">
            <w:r>
              <w:rPr>
                <w:sz w:val="20"/>
                <w:szCs w:val="20"/>
              </w:rPr>
              <w:t>+18% YoY. 6.4% margin (+70bps). EBIT before PPA €831M vs €356M last year.</w:t>
            </w:r>
          </w:p>
        </w:tc>
      </w:tr>
      <w:tr w:rsidR="00D30E77" w14:paraId="61D35E5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2790259" w14:textId="77777777" w:rsidR="00D30E77" w:rsidRDefault="00000000">
            <w:r>
              <w:rPr>
                <w:b/>
                <w:bCs/>
                <w:sz w:val="20"/>
                <w:szCs w:val="20"/>
              </w:rPr>
              <w:t>Net Income (Group Share)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75BFF74" w14:textId="77777777" w:rsidR="00D30E77" w:rsidRDefault="00000000">
            <w:pPr>
              <w:jc w:val="center"/>
            </w:pPr>
            <w:r>
              <w:rPr>
                <w:sz w:val="20"/>
                <w:szCs w:val="20"/>
              </w:rPr>
              <w:t>€149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6F63C6ED" w14:textId="77777777" w:rsidR="00D30E77" w:rsidRDefault="00000000">
            <w:r>
              <w:rPr>
                <w:sz w:val="20"/>
                <w:szCs w:val="20"/>
              </w:rPr>
              <w:t>Returned to profitability after challenging FY23/24. Adjusted net profit €498M.</w:t>
            </w:r>
          </w:p>
        </w:tc>
      </w:tr>
      <w:tr w:rsidR="00D30E77" w14:paraId="593E22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4D82820" w14:textId="77777777" w:rsidR="00D30E77" w:rsidRDefault="00000000">
            <w:r>
              <w:rPr>
                <w:b/>
                <w:bCs/>
                <w:sz w:val="20"/>
                <w:szCs w:val="20"/>
              </w:rPr>
              <w:t>Free Cash Flow (FY24/25)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87FD48" w14:textId="77777777" w:rsidR="00D30E77" w:rsidRDefault="00000000">
            <w:pPr>
              <w:jc w:val="center"/>
            </w:pPr>
            <w:r>
              <w:rPr>
                <w:sz w:val="20"/>
                <w:szCs w:val="20"/>
              </w:rPr>
              <w:t>€502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0CB30F" w14:textId="77777777" w:rsidR="00D30E77" w:rsidRDefault="00000000">
            <w:r>
              <w:rPr>
                <w:sz w:val="20"/>
                <w:szCs w:val="20"/>
              </w:rPr>
              <w:t>Reversed from −€557M in FY23/24. €1.5B cumulative target across FY24/25–FY26/27.</w:t>
            </w:r>
          </w:p>
        </w:tc>
      </w:tr>
      <w:tr w:rsidR="00D30E77" w14:paraId="6D655CEB"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FC5846B" w14:textId="77777777" w:rsidR="00D30E77" w:rsidRDefault="00000000">
            <w:r>
              <w:rPr>
                <w:b/>
                <w:bCs/>
                <w:sz w:val="20"/>
                <w:szCs w:val="20"/>
              </w:rPr>
              <w:t>Net Debt Position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775C57B" w14:textId="77777777" w:rsidR="00D30E77" w:rsidRDefault="00000000">
            <w:pPr>
              <w:jc w:val="center"/>
            </w:pPr>
            <w:r>
              <w:rPr>
                <w:sz w:val="20"/>
                <w:szCs w:val="20"/>
              </w:rPr>
              <w:t>€(434)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C25B389" w14:textId="77777777" w:rsidR="00D30E77" w:rsidRDefault="00000000">
            <w:r>
              <w:rPr>
                <w:sz w:val="20"/>
                <w:szCs w:val="20"/>
              </w:rPr>
              <w:t>Down €2.56B from €(2,994)M at FY23/24 year-end. ~0.4x adjusted EBIT.</w:t>
            </w:r>
          </w:p>
        </w:tc>
      </w:tr>
      <w:tr w:rsidR="00D30E77" w14:paraId="34B23C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4AA8E84" w14:textId="77777777" w:rsidR="00D30E77" w:rsidRDefault="00000000">
            <w:r>
              <w:rPr>
                <w:b/>
                <w:bCs/>
                <w:sz w:val="20"/>
                <w:szCs w:val="20"/>
              </w:rPr>
              <w:t>Backlog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2A5469" w14:textId="77777777" w:rsidR="00D30E77" w:rsidRDefault="00000000">
            <w:pPr>
              <w:jc w:val="center"/>
            </w:pPr>
            <w:r>
              <w:rPr>
                <w:sz w:val="20"/>
                <w:szCs w:val="20"/>
              </w:rPr>
              <w:t>€95 billion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F54704" w14:textId="77777777" w:rsidR="00D30E77" w:rsidRDefault="00000000">
            <w:r>
              <w:rPr>
                <w:sz w:val="20"/>
                <w:szCs w:val="20"/>
              </w:rPr>
              <w:t>As of 31 March 2025. Reached €100.3B by 31 December 2025. 5+ years of visibility.</w:t>
            </w:r>
          </w:p>
        </w:tc>
      </w:tr>
      <w:tr w:rsidR="00D30E77" w14:paraId="34B5261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4C79806" w14:textId="77777777" w:rsidR="00D30E77" w:rsidRDefault="00000000">
            <w:r>
              <w:rPr>
                <w:b/>
                <w:bCs/>
                <w:sz w:val="20"/>
                <w:szCs w:val="20"/>
              </w:rPr>
              <w:t>Gross Margin in Backlog</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681FE762" w14:textId="77777777" w:rsidR="00D30E77" w:rsidRDefault="00000000">
            <w:pPr>
              <w:jc w:val="center"/>
            </w:pPr>
            <w:r>
              <w:rPr>
                <w:sz w:val="20"/>
                <w:szCs w:val="20"/>
              </w:rPr>
              <w:t>17.8%</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AFC8633" w14:textId="77777777" w:rsidR="00D30E77" w:rsidRDefault="00000000">
            <w:r>
              <w:rPr>
                <w:sz w:val="20"/>
                <w:szCs w:val="20"/>
              </w:rPr>
              <w:t>+30bps vs FY23/24. New orders booked above legacy contract margins.</w:t>
            </w:r>
          </w:p>
        </w:tc>
      </w:tr>
      <w:tr w:rsidR="00D30E77" w14:paraId="6B10AE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826EB0" w14:textId="77777777" w:rsidR="00D30E77" w:rsidRDefault="00000000">
            <w:r>
              <w:rPr>
                <w:b/>
                <w:bCs/>
                <w:sz w:val="20"/>
                <w:szCs w:val="20"/>
              </w:rPr>
              <w:t>Order Intake (FY24/25)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DD09DD" w14:textId="77777777" w:rsidR="00D30E77" w:rsidRDefault="00000000">
            <w:pPr>
              <w:jc w:val="center"/>
            </w:pPr>
            <w:r>
              <w:rPr>
                <w:sz w:val="20"/>
                <w:szCs w:val="20"/>
              </w:rPr>
              <w:t>€19.8 billion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CD03867" w14:textId="77777777" w:rsidR="00D30E77" w:rsidRDefault="00000000">
            <w:r>
              <w:rPr>
                <w:sz w:val="20"/>
                <w:szCs w:val="20"/>
              </w:rPr>
              <w:t>+4.7% YoY. Includes €3.6B S-Bahn Rheinland contract — largest in fiscal year.</w:t>
            </w:r>
          </w:p>
        </w:tc>
      </w:tr>
      <w:tr w:rsidR="00D30E77" w14:paraId="41A0746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A011BE2" w14:textId="77777777" w:rsidR="00D30E77" w:rsidRDefault="00000000">
            <w:r>
              <w:rPr>
                <w:b/>
                <w:bCs/>
                <w:sz w:val="20"/>
                <w:szCs w:val="20"/>
              </w:rPr>
              <w:lastRenderedPageBreak/>
              <w:t>Liquidity (March 2025)</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797B074" w14:textId="77777777" w:rsidR="00D30E77" w:rsidRDefault="00000000">
            <w:pPr>
              <w:jc w:val="center"/>
            </w:pPr>
            <w:r>
              <w:rPr>
                <w:sz w:val="20"/>
                <w:szCs w:val="20"/>
              </w:rPr>
              <w:t>€2.3B cash + €4.25B RCFs</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15915A7" w14:textId="77777777" w:rsidR="00D30E77" w:rsidRDefault="00000000">
            <w:r>
              <w:rPr>
                <w:sz w:val="20"/>
                <w:szCs w:val="20"/>
              </w:rPr>
              <w:t>€2.5B Liquidity RCF + €1.75B Backstop RCF — both undrawn. €6.55B total liquidity.</w:t>
            </w:r>
          </w:p>
        </w:tc>
      </w:tr>
      <w:tr w:rsidR="00D30E77" w14:paraId="61C61E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9E2088" w14:textId="77777777" w:rsidR="00D30E77" w:rsidRDefault="00000000">
            <w:r>
              <w:rPr>
                <w:b/>
                <w:bCs/>
                <w:sz w:val="20"/>
                <w:szCs w:val="20"/>
              </w:rPr>
              <w:t>Credit Rating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52D315" w14:textId="77777777" w:rsidR="00D30E77" w:rsidRDefault="00000000">
            <w:pPr>
              <w:jc w:val="center"/>
            </w:pPr>
            <w:r>
              <w:rPr>
                <w:sz w:val="20"/>
                <w:szCs w:val="20"/>
              </w:rPr>
              <w:t>Baa3 / Stable (Moody's)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8787FA8" w14:textId="77777777" w:rsidR="00D30E77" w:rsidRDefault="00000000">
            <w:r>
              <w:rPr>
                <w:sz w:val="20"/>
                <w:szCs w:val="20"/>
              </w:rPr>
              <w:t>Affirmed STABLE in June 2024 (revised from Negative) and again May 2025.</w:t>
            </w:r>
          </w:p>
        </w:tc>
      </w:tr>
      <w:tr w:rsidR="00D30E77" w14:paraId="3DF2D090"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88395BC" w14:textId="77777777" w:rsidR="00D30E77" w:rsidRDefault="00000000">
            <w:r>
              <w:rPr>
                <w:b/>
                <w:bCs/>
                <w:sz w:val="20"/>
                <w:szCs w:val="20"/>
              </w:rPr>
              <w:t>CapEx (FY24/25)</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B13F2E9" w14:textId="77777777" w:rsidR="00D30E77" w:rsidRDefault="00000000">
            <w:pPr>
              <w:jc w:val="center"/>
            </w:pPr>
            <w:r>
              <w:rPr>
                <w:sz w:val="20"/>
                <w:szCs w:val="20"/>
              </w:rPr>
              <w:t>€294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75AB588" w14:textId="77777777" w:rsidR="00D30E77" w:rsidRDefault="00000000">
            <w:r>
              <w:rPr>
                <w:sz w:val="20"/>
                <w:szCs w:val="20"/>
              </w:rPr>
              <w:t>Excluding R&amp;D. Down from €307M last fiscal year. ~1.6% of sales — low capital intensity.</w:t>
            </w:r>
          </w:p>
        </w:tc>
      </w:tr>
      <w:tr w:rsidR="00D30E77" w14:paraId="6E471F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737F9F5" w14:textId="77777777" w:rsidR="00D30E77" w:rsidRDefault="00000000">
            <w:r>
              <w:rPr>
                <w:b/>
                <w:bCs/>
                <w:sz w:val="20"/>
                <w:szCs w:val="20"/>
              </w:rPr>
              <w:t>Equity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97CF715" w14:textId="77777777" w:rsidR="00D30E77" w:rsidRDefault="00000000">
            <w:pPr>
              <w:jc w:val="center"/>
            </w:pPr>
            <w:r>
              <w:rPr>
                <w:sz w:val="20"/>
                <w:szCs w:val="20"/>
              </w:rPr>
              <w:t>€10,577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A1FBA9E" w14:textId="77777777" w:rsidR="00D30E77" w:rsidRDefault="00000000">
            <w:r>
              <w:rPr>
                <w:sz w:val="20"/>
                <w:szCs w:val="20"/>
              </w:rPr>
              <w:t>Strong balance sheet. Leverage on a book-value basis is very low.</w:t>
            </w:r>
          </w:p>
        </w:tc>
      </w:tr>
    </w:tbl>
    <w:p w14:paraId="397D60E0"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D30E77" w14:paraId="1A3B8E7B"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00" w:type="dxa"/>
              <w:bottom w:w="100" w:type="dxa"/>
              <w:right w:w="100" w:type="dxa"/>
            </w:tcMar>
            <w:vAlign w:val="center"/>
          </w:tcPr>
          <w:p w14:paraId="19FA406D" w14:textId="77777777" w:rsidR="00D30E77" w:rsidRDefault="00000000">
            <w:pPr>
              <w:jc w:val="center"/>
            </w:pPr>
            <w:r>
              <w:rPr>
                <w:b/>
                <w:bCs/>
                <w:color w:val="FFFFFF"/>
                <w:sz w:val="44"/>
                <w:szCs w:val="44"/>
              </w:rPr>
              <w:t>STEP 1</w:t>
            </w:r>
          </w:p>
        </w:tc>
        <w:tc>
          <w:tcPr>
            <w:tcW w:w="84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240" w:type="dxa"/>
              <w:bottom w:w="100" w:type="dxa"/>
              <w:right w:w="120" w:type="dxa"/>
            </w:tcMar>
          </w:tcPr>
          <w:p w14:paraId="30866147" w14:textId="77777777" w:rsidR="00D30E77" w:rsidRDefault="00000000">
            <w:pPr>
              <w:spacing w:after="40"/>
            </w:pPr>
            <w:r>
              <w:rPr>
                <w:b/>
                <w:bCs/>
                <w:color w:val="FFFFFF"/>
                <w:sz w:val="30"/>
                <w:szCs w:val="30"/>
              </w:rPr>
              <w:t>Business Profile</w:t>
            </w:r>
          </w:p>
          <w:p w14:paraId="2E4EA5CE" w14:textId="77777777" w:rsidR="00D30E77" w:rsidRDefault="00000000">
            <w:r>
              <w:rPr>
                <w:i/>
                <w:iCs/>
                <w:color w:val="BDD7EE"/>
                <w:sz w:val="18"/>
                <w:szCs w:val="18"/>
              </w:rPr>
              <w:t>Who is Alstom and how does it make money?</w:t>
            </w:r>
          </w:p>
        </w:tc>
      </w:tr>
    </w:tbl>
    <w:p w14:paraId="79D5B276" w14:textId="77777777" w:rsidR="00D30E77" w:rsidRDefault="00D30E77">
      <w:pPr>
        <w:spacing w:before="80"/>
      </w:pPr>
    </w:p>
    <w:p w14:paraId="162C5866" w14:textId="77777777" w:rsidR="00D30E77" w:rsidRDefault="00000000">
      <w:pPr>
        <w:pStyle w:val="Heading2"/>
        <w:pBdr>
          <w:bottom w:val="single" w:sz="4" w:space="1" w:color="2E5FA3"/>
        </w:pBdr>
      </w:pPr>
      <w:r>
        <w:t>1.1 — What Is Alstom?</w:t>
      </w:r>
    </w:p>
    <w:p w14:paraId="3E47FA60" w14:textId="77777777" w:rsidR="00D30E77" w:rsidRDefault="00000000">
      <w:pPr>
        <w:spacing w:before="60" w:after="80"/>
      </w:pPr>
      <w:r>
        <w:t>Alstom SA is a French industrial group headquartered in Saint-Ouen-sur-Seine (Paris region), publicly listed on Euronext Paris under the ticker ALO. The company is one of the global leaders in rail transport equipment and infrastructure, with operations spanning rolling stock manufacturing (trains, metros, trams), signalling and train control systems, rail services and maintenance, and integrated rail systems (turnkey lines).</w:t>
      </w:r>
    </w:p>
    <w:p w14:paraId="6A5D0CFD" w14:textId="77777777" w:rsidR="00D30E77" w:rsidRDefault="00000000">
      <w:pPr>
        <w:spacing w:before="60" w:after="80"/>
      </w:pPr>
      <w:r>
        <w:t>Alstom's modern shape was defined by the January 2021 acquisition of Bombardier Transportation for an enterprise value of approximately €5.5 billion. This transformational deal doubled the company's revenue base and made Alstom the world's #2 rail equipment manufacturer (behind only Chinese state-owned CRRC), but it also burdened the company with significant integration costs, legacy low-margin contracts inherited from Bombardier, and a balance sheet that came under credit stress for nearly three years. The FY2024/25 results document the successful conclusion of this integration.</w:t>
      </w:r>
    </w:p>
    <w:p w14:paraId="0EC83721"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D30E77" w14:paraId="2925999D"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31F7B213" w14:textId="77777777" w:rsidR="00D30E77" w:rsidRDefault="00000000">
            <w:pPr>
              <w:jc w:val="center"/>
            </w:pPr>
            <w:r>
              <w:rPr>
                <w:b/>
                <w:bCs/>
                <w:color w:val="FFFFFF"/>
                <w:sz w:val="19"/>
                <w:szCs w:val="19"/>
              </w:rPr>
              <w:t>CRITICAL CONTEXT FOR CREDIT</w:t>
            </w:r>
          </w:p>
        </w:tc>
        <w:tc>
          <w:tcPr>
            <w:tcW w:w="80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20" w:type="dxa"/>
            </w:tcMar>
          </w:tcPr>
          <w:p w14:paraId="06774884" w14:textId="77777777" w:rsidR="00D30E77" w:rsidRDefault="00000000">
            <w:r>
              <w:rPr>
                <w:color w:val="000000"/>
                <w:sz w:val="21"/>
                <w:szCs w:val="21"/>
              </w:rPr>
              <w:t>Alstom's fiscal year runs from April 1 to March 31, following the French industrial tradition. When this report references 'FY2024/25', it covers April 1, 2024 to March 31, 2025 — the year in which the deleveraging plan was fully executed and Moody's restored the stable outlook on the Baa3 investment-grade rating.</w:t>
            </w:r>
          </w:p>
        </w:tc>
      </w:tr>
    </w:tbl>
    <w:p w14:paraId="2282F594" w14:textId="77777777" w:rsidR="00D30E77" w:rsidRDefault="00D30E77">
      <w:pPr>
        <w:spacing w:before="80"/>
      </w:pPr>
    </w:p>
    <w:p w14:paraId="1513E491" w14:textId="77777777" w:rsidR="00D30E77" w:rsidRDefault="00000000">
      <w:pPr>
        <w:pStyle w:val="Heading2"/>
        <w:pBdr>
          <w:bottom w:val="single" w:sz="4" w:space="1" w:color="2E5FA3"/>
        </w:pBdr>
      </w:pPr>
      <w:r>
        <w:t>1.2 — The Four Product Lines</w:t>
      </w:r>
    </w:p>
    <w:p w14:paraId="37345230" w14:textId="77777777" w:rsidR="00D30E77" w:rsidRDefault="00000000">
      <w:pPr>
        <w:spacing w:before="60" w:after="80"/>
      </w:pPr>
      <w:r>
        <w:t>Alstom reports across four product lines, each with distinct margin, cash flow, and risk characteristics. Unlike a food retailer where revenue mix is relatively homogenous, Alstom's segments require different credit analysis frameworks — long-cycle manufacturing (Rolling Stock) versus recurring services (Services) versus software-rich technology (Signalling) versus lumpy turnkey projects (Systems).</w:t>
      </w:r>
    </w:p>
    <w:p w14:paraId="6D41C829"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900"/>
        <w:gridCol w:w="4660"/>
      </w:tblGrid>
      <w:tr w:rsidR="00D30E77" w14:paraId="5E951F4F"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0FA8CD1A" w14:textId="77777777" w:rsidR="00D30E77" w:rsidRDefault="00000000">
            <w:r>
              <w:rPr>
                <w:b/>
                <w:bCs/>
                <w:color w:val="FFFFFF"/>
                <w:sz w:val="20"/>
                <w:szCs w:val="20"/>
              </w:rPr>
              <w:t>Product Line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59D109D4" w14:textId="77777777" w:rsidR="00D30E77" w:rsidRDefault="00000000">
            <w:r>
              <w:rPr>
                <w:b/>
                <w:bCs/>
                <w:color w:val="FFFFFF"/>
                <w:sz w:val="20"/>
                <w:szCs w:val="20"/>
              </w:rPr>
              <w:t>FY24/25 Sales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4372EA60" w14:textId="77777777" w:rsidR="00D30E77" w:rsidRDefault="00000000">
            <w:r>
              <w:rPr>
                <w:b/>
                <w:bCs/>
                <w:color w:val="FFFFFF"/>
                <w:sz w:val="20"/>
                <w:szCs w:val="20"/>
              </w:rPr>
              <w:t>% Total</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2A962EFB" w14:textId="77777777" w:rsidR="00D30E77" w:rsidRDefault="00000000">
            <w:r>
              <w:rPr>
                <w:b/>
                <w:bCs/>
                <w:color w:val="FFFFFF"/>
                <w:sz w:val="20"/>
                <w:szCs w:val="20"/>
              </w:rPr>
              <w:t>Key Characteristics</w:t>
            </w:r>
          </w:p>
        </w:tc>
      </w:tr>
      <w:tr w:rsidR="00D30E77" w14:paraId="598137AE"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9DF0885" w14:textId="77777777" w:rsidR="00D30E77" w:rsidRDefault="00000000">
            <w:r>
              <w:rPr>
                <w:b/>
                <w:bCs/>
                <w:sz w:val="20"/>
                <w:szCs w:val="20"/>
              </w:rPr>
              <w:t>Rolling Stock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C56A299" w14:textId="77777777" w:rsidR="00D30E77" w:rsidRDefault="00000000">
            <w:pPr>
              <w:jc w:val="center"/>
            </w:pPr>
            <w:r>
              <w:rPr>
                <w:sz w:val="20"/>
                <w:szCs w:val="20"/>
              </w:rPr>
              <w:t>€9.5B</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2A8779C" w14:textId="77777777" w:rsidR="00D30E77" w:rsidRDefault="00000000">
            <w:pPr>
              <w:jc w:val="center"/>
            </w:pPr>
            <w:r>
              <w:rPr>
                <w:sz w:val="20"/>
                <w:szCs w:val="20"/>
              </w:rPr>
              <w:t>51%</w:t>
            </w:r>
          </w:p>
        </w:tc>
        <w:tc>
          <w:tcPr>
            <w:tcW w:w="4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4018612" w14:textId="77777777" w:rsidR="00D30E77" w:rsidRDefault="00000000">
            <w:r>
              <w:rPr>
                <w:sz w:val="19"/>
                <w:szCs w:val="19"/>
              </w:rPr>
              <w:t xml:space="preserve">Manufacturing of trains, locomotives, metros, trams. Largest segment. Long-cycle contracts (5-15 years). </w:t>
            </w:r>
            <w:r>
              <w:rPr>
                <w:sz w:val="19"/>
                <w:szCs w:val="19"/>
              </w:rPr>
              <w:lastRenderedPageBreak/>
              <w:t>Working capital intensive. Margins recovering as Bombardier legacy contracts complete.</w:t>
            </w:r>
          </w:p>
        </w:tc>
      </w:tr>
      <w:tr w:rsidR="00D30E77" w14:paraId="416AD42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D41F191" w14:textId="77777777" w:rsidR="00D30E77" w:rsidRDefault="00000000">
            <w:r>
              <w:rPr>
                <w:b/>
                <w:bCs/>
                <w:sz w:val="20"/>
                <w:szCs w:val="20"/>
              </w:rPr>
              <w:lastRenderedPageBreak/>
              <w:t>Services</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5DD1BF8" w14:textId="77777777" w:rsidR="00D30E77" w:rsidRDefault="00000000">
            <w:pPr>
              <w:jc w:val="center"/>
            </w:pPr>
            <w:r>
              <w:rPr>
                <w:sz w:val="20"/>
                <w:szCs w:val="20"/>
              </w:rPr>
              <w:t>€4.5B</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E86E032" w14:textId="77777777" w:rsidR="00D30E77" w:rsidRDefault="00000000">
            <w:pPr>
              <w:jc w:val="center"/>
            </w:pPr>
            <w:r>
              <w:rPr>
                <w:sz w:val="20"/>
                <w:szCs w:val="20"/>
              </w:rPr>
              <w:t>24%</w:t>
            </w:r>
          </w:p>
        </w:tc>
        <w:tc>
          <w:tcPr>
            <w:tcW w:w="4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753B59B" w14:textId="77777777" w:rsidR="00D30E77" w:rsidRDefault="00000000">
            <w:r>
              <w:rPr>
                <w:sz w:val="19"/>
                <w:szCs w:val="19"/>
              </w:rPr>
              <w:t>Maintenance, overhaul, spare parts. Highest-margin recurring revenue. Sticky contracts of 15-30 years. Strategic growth priority — best counter-cyclical business.</w:t>
            </w:r>
          </w:p>
        </w:tc>
      </w:tr>
      <w:tr w:rsidR="00D30E77" w14:paraId="3A6DCB67"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A5A8629" w14:textId="77777777" w:rsidR="00D30E77" w:rsidRDefault="00000000">
            <w:r>
              <w:rPr>
                <w:b/>
                <w:bCs/>
                <w:sz w:val="20"/>
                <w:szCs w:val="20"/>
              </w:rPr>
              <w:t>Signalling</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DD99522" w14:textId="77777777" w:rsidR="00D30E77" w:rsidRDefault="00000000">
            <w:pPr>
              <w:jc w:val="center"/>
            </w:pPr>
            <w:r>
              <w:rPr>
                <w:sz w:val="20"/>
                <w:szCs w:val="20"/>
              </w:rPr>
              <w:t>€2.8B</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F3B02B4" w14:textId="77777777" w:rsidR="00D30E77" w:rsidRDefault="00000000">
            <w:pPr>
              <w:jc w:val="center"/>
            </w:pPr>
            <w:r>
              <w:rPr>
                <w:sz w:val="20"/>
                <w:szCs w:val="20"/>
              </w:rPr>
              <w:t>15%</w:t>
            </w:r>
          </w:p>
        </w:tc>
        <w:tc>
          <w:tcPr>
            <w:tcW w:w="4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5E3ACEC" w14:textId="77777777" w:rsidR="00D30E77" w:rsidRDefault="00000000">
            <w:r>
              <w:rPr>
                <w:sz w:val="19"/>
                <w:szCs w:val="19"/>
              </w:rPr>
              <w:t>Train control systems, ERTMS, digitalisation. High-margin, software-rich. Strong organic growth (+4% FY24/25). Sold US conventional signalling to Knorr-Bremse (~€600M deleveraging).</w:t>
            </w:r>
          </w:p>
        </w:tc>
      </w:tr>
      <w:tr w:rsidR="00D30E77" w14:paraId="5B5D1B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2120F707" w14:textId="77777777" w:rsidR="00D30E77" w:rsidRDefault="00000000">
            <w:r>
              <w:rPr>
                <w:b/>
                <w:bCs/>
                <w:sz w:val="20"/>
                <w:szCs w:val="20"/>
              </w:rPr>
              <w:t>Systems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8B17B66" w14:textId="77777777" w:rsidR="00D30E77" w:rsidRDefault="00000000">
            <w:pPr>
              <w:jc w:val="center"/>
            </w:pPr>
            <w:r>
              <w:rPr>
                <w:sz w:val="20"/>
                <w:szCs w:val="20"/>
              </w:rPr>
              <w:t>€1.7B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BD79FD8" w14:textId="77777777" w:rsidR="00D30E77" w:rsidRDefault="00000000">
            <w:pPr>
              <w:jc w:val="center"/>
            </w:pPr>
            <w:r>
              <w:rPr>
                <w:sz w:val="20"/>
                <w:szCs w:val="20"/>
              </w:rPr>
              <w:t>9%</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3A1BE641" w14:textId="77777777" w:rsidR="00D30E77" w:rsidRDefault="00000000">
            <w:r>
              <w:rPr>
                <w:sz w:val="19"/>
                <w:szCs w:val="19"/>
              </w:rPr>
              <w:t>Turnkey projects — full rail systems (high-speed lines, metros). Lumpy revenue. Smallest but highest-growth segment in pipeline.</w:t>
            </w:r>
          </w:p>
        </w:tc>
      </w:tr>
    </w:tbl>
    <w:p w14:paraId="1DFCF5A1"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D30E77" w14:paraId="1C44306F"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0C67D32B" w14:textId="77777777" w:rsidR="00D30E77" w:rsidRDefault="00000000">
            <w:pPr>
              <w:jc w:val="center"/>
            </w:pPr>
            <w:r>
              <w:rPr>
                <w:b/>
                <w:bCs/>
                <w:color w:val="FFFFFF"/>
                <w:sz w:val="19"/>
                <w:szCs w:val="19"/>
              </w:rPr>
              <w:t>THE STRATEGIC MIX SHIFT</w:t>
            </w:r>
          </w:p>
        </w:tc>
        <w:tc>
          <w:tcPr>
            <w:tcW w:w="8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061CDC83" w14:textId="77777777" w:rsidR="00D30E77" w:rsidRDefault="00000000">
            <w:r>
              <w:rPr>
                <w:color w:val="000000"/>
                <w:sz w:val="21"/>
                <w:szCs w:val="21"/>
              </w:rPr>
              <w:t>Management is actively rebalancing the backlog away from low-margin Rolling Stock contracts inherited from Bombardier toward higher-margin Services and Signalling. In H1 FY24/25, Services and Signalling combined exceeded 50% of order intake for the first time since the Bombardier merger. This mix shift is the central driver of margin expansion from 6.4% in FY24/25 toward the 8-10% medium-term target by FY26/27.</w:t>
            </w:r>
          </w:p>
        </w:tc>
      </w:tr>
    </w:tbl>
    <w:p w14:paraId="7F02D78E" w14:textId="77777777" w:rsidR="00D30E77" w:rsidRDefault="00D30E77">
      <w:pPr>
        <w:spacing w:before="80"/>
      </w:pPr>
    </w:p>
    <w:p w14:paraId="77072652" w14:textId="4EEBC222" w:rsidR="0066456C" w:rsidRDefault="0066456C" w:rsidP="0066456C">
      <w:pPr>
        <w:pStyle w:val="Heading2"/>
        <w:pBdr>
          <w:bottom w:val="single" w:sz="4" w:space="1" w:color="2E5FA3"/>
        </w:pBdr>
      </w:pPr>
      <w:r>
        <w:t>1.</w:t>
      </w:r>
      <w:r>
        <w:t>3</w:t>
      </w:r>
      <w:r>
        <w:t xml:space="preserve"> — </w:t>
      </w:r>
      <w:r>
        <w:t>Geographic breakdown</w:t>
      </w:r>
    </w:p>
    <w:p w14:paraId="298BE619" w14:textId="77777777" w:rsidR="0066456C" w:rsidRDefault="0066456C">
      <w:pPr>
        <w:spacing w:before="80"/>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8"/>
        <w:gridCol w:w="2787"/>
        <w:gridCol w:w="1791"/>
      </w:tblGrid>
      <w:tr w:rsidR="0066456C" w14:paraId="6A0B6A48" w14:textId="77777777" w:rsidTr="0066456C">
        <w:trPr>
          <w:trHeight w:val="464"/>
        </w:trPr>
        <w:tc>
          <w:tcPr>
            <w:tcW w:w="47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4EA5FA49" w14:textId="148F0B69" w:rsidR="0066456C" w:rsidRDefault="0066456C" w:rsidP="00F634E2">
            <w:r>
              <w:rPr>
                <w:b/>
                <w:bCs/>
                <w:color w:val="FFFFFF"/>
                <w:sz w:val="20"/>
                <w:szCs w:val="20"/>
              </w:rPr>
              <w:t>Region</w:t>
            </w:r>
          </w:p>
        </w:tc>
        <w:tc>
          <w:tcPr>
            <w:tcW w:w="278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507FB456" w14:textId="77777777" w:rsidR="0066456C" w:rsidRDefault="0066456C" w:rsidP="00F634E2">
            <w:r>
              <w:rPr>
                <w:b/>
                <w:bCs/>
                <w:color w:val="FFFFFF"/>
                <w:sz w:val="20"/>
                <w:szCs w:val="20"/>
              </w:rPr>
              <w:t>FY24/25 Sales</w:t>
            </w:r>
          </w:p>
        </w:tc>
        <w:tc>
          <w:tcPr>
            <w:tcW w:w="17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4E361DB5" w14:textId="77777777" w:rsidR="0066456C" w:rsidRDefault="0066456C" w:rsidP="00F634E2">
            <w:r>
              <w:rPr>
                <w:b/>
                <w:bCs/>
                <w:color w:val="FFFFFF"/>
                <w:sz w:val="20"/>
                <w:szCs w:val="20"/>
              </w:rPr>
              <w:t>% Total</w:t>
            </w:r>
          </w:p>
        </w:tc>
      </w:tr>
      <w:tr w:rsidR="0066456C" w14:paraId="2E54F997" w14:textId="77777777" w:rsidTr="0066456C">
        <w:trPr>
          <w:trHeight w:val="238"/>
        </w:trPr>
        <w:tc>
          <w:tcPr>
            <w:tcW w:w="47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2F92FE3" w14:textId="1DC48331" w:rsidR="0066456C" w:rsidRDefault="0066456C" w:rsidP="00F634E2">
            <w:r>
              <w:rPr>
                <w:b/>
                <w:bCs/>
                <w:sz w:val="20"/>
                <w:szCs w:val="20"/>
              </w:rPr>
              <w:t>Europe</w:t>
            </w:r>
          </w:p>
        </w:tc>
        <w:tc>
          <w:tcPr>
            <w:tcW w:w="27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CAEE83D" w14:textId="7BE12E9E" w:rsidR="0066456C" w:rsidRDefault="0066456C" w:rsidP="00F634E2">
            <w:pPr>
              <w:jc w:val="center"/>
            </w:pPr>
            <w:r>
              <w:rPr>
                <w:sz w:val="20"/>
                <w:szCs w:val="20"/>
              </w:rPr>
              <w:t>€</w:t>
            </w:r>
            <w:r>
              <w:rPr>
                <w:sz w:val="20"/>
                <w:szCs w:val="20"/>
              </w:rPr>
              <w:t>10.5</w:t>
            </w:r>
            <w:r>
              <w:rPr>
                <w:sz w:val="20"/>
                <w:szCs w:val="20"/>
              </w:rPr>
              <w:t>B</w:t>
            </w:r>
          </w:p>
        </w:tc>
        <w:tc>
          <w:tcPr>
            <w:tcW w:w="179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D103EA9" w14:textId="6F0F69CE" w:rsidR="0066456C" w:rsidRDefault="0066456C" w:rsidP="00F634E2">
            <w:pPr>
              <w:jc w:val="center"/>
            </w:pPr>
            <w:r>
              <w:rPr>
                <w:sz w:val="20"/>
                <w:szCs w:val="20"/>
              </w:rPr>
              <w:t>5</w:t>
            </w:r>
            <w:r>
              <w:rPr>
                <w:sz w:val="20"/>
                <w:szCs w:val="20"/>
              </w:rPr>
              <w:t>7</w:t>
            </w:r>
            <w:r>
              <w:rPr>
                <w:sz w:val="20"/>
                <w:szCs w:val="20"/>
              </w:rPr>
              <w:t>%</w:t>
            </w:r>
          </w:p>
        </w:tc>
      </w:tr>
      <w:tr w:rsidR="0066456C" w14:paraId="05DFB8F2" w14:textId="77777777" w:rsidTr="0066456C">
        <w:trPr>
          <w:trHeight w:val="238"/>
        </w:trPr>
        <w:tc>
          <w:tcPr>
            <w:tcW w:w="47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CF7E5BC" w14:textId="53AA5CE2" w:rsidR="0066456C" w:rsidRDefault="0066456C" w:rsidP="00F634E2">
            <w:r>
              <w:rPr>
                <w:b/>
                <w:bCs/>
                <w:sz w:val="20"/>
                <w:szCs w:val="20"/>
              </w:rPr>
              <w:t>Americas</w:t>
            </w:r>
          </w:p>
        </w:tc>
        <w:tc>
          <w:tcPr>
            <w:tcW w:w="27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D35028A" w14:textId="1FF53D4A" w:rsidR="0066456C" w:rsidRDefault="0066456C" w:rsidP="00F634E2">
            <w:pPr>
              <w:jc w:val="center"/>
            </w:pPr>
            <w:r>
              <w:rPr>
                <w:sz w:val="20"/>
                <w:szCs w:val="20"/>
              </w:rPr>
              <w:t>€</w:t>
            </w:r>
            <w:r>
              <w:rPr>
                <w:sz w:val="20"/>
                <w:szCs w:val="20"/>
              </w:rPr>
              <w:t>3.7</w:t>
            </w:r>
            <w:r>
              <w:rPr>
                <w:sz w:val="20"/>
                <w:szCs w:val="20"/>
              </w:rPr>
              <w:t>B</w:t>
            </w:r>
          </w:p>
        </w:tc>
        <w:tc>
          <w:tcPr>
            <w:tcW w:w="179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5AF262D" w14:textId="0B68A470" w:rsidR="0066456C" w:rsidRDefault="0066456C" w:rsidP="00F634E2">
            <w:pPr>
              <w:jc w:val="center"/>
            </w:pPr>
            <w:r>
              <w:rPr>
                <w:sz w:val="20"/>
                <w:szCs w:val="20"/>
              </w:rPr>
              <w:t>19</w:t>
            </w:r>
            <w:r>
              <w:rPr>
                <w:sz w:val="20"/>
                <w:szCs w:val="20"/>
              </w:rPr>
              <w:t>%</w:t>
            </w:r>
          </w:p>
        </w:tc>
      </w:tr>
      <w:tr w:rsidR="0066456C" w14:paraId="4C74D35C" w14:textId="77777777" w:rsidTr="0066456C">
        <w:trPr>
          <w:trHeight w:val="224"/>
        </w:trPr>
        <w:tc>
          <w:tcPr>
            <w:tcW w:w="47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2C6D23C" w14:textId="629F1827" w:rsidR="0066456C" w:rsidRDefault="0066456C" w:rsidP="0066456C">
            <w:r>
              <w:rPr>
                <w:b/>
                <w:bCs/>
                <w:sz w:val="20"/>
                <w:szCs w:val="20"/>
              </w:rPr>
              <w:t>Asia / Pacific</w:t>
            </w:r>
          </w:p>
        </w:tc>
        <w:tc>
          <w:tcPr>
            <w:tcW w:w="27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07C3C16" w14:textId="26FCD7CE" w:rsidR="0066456C" w:rsidRDefault="0066456C" w:rsidP="0066456C">
            <w:pPr>
              <w:jc w:val="center"/>
            </w:pPr>
            <w:r>
              <w:rPr>
                <w:sz w:val="20"/>
                <w:szCs w:val="20"/>
              </w:rPr>
              <w:t>€2.</w:t>
            </w:r>
            <w:r>
              <w:rPr>
                <w:sz w:val="20"/>
                <w:szCs w:val="20"/>
              </w:rPr>
              <w:t>7</w:t>
            </w:r>
            <w:r>
              <w:rPr>
                <w:sz w:val="20"/>
                <w:szCs w:val="20"/>
              </w:rPr>
              <w:t>B</w:t>
            </w:r>
          </w:p>
        </w:tc>
        <w:tc>
          <w:tcPr>
            <w:tcW w:w="179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919EE3C" w14:textId="0F577938" w:rsidR="0066456C" w:rsidRDefault="0066456C" w:rsidP="0066456C">
            <w:pPr>
              <w:jc w:val="center"/>
            </w:pPr>
            <w:r>
              <w:rPr>
                <w:sz w:val="20"/>
                <w:szCs w:val="20"/>
              </w:rPr>
              <w:t>15%</w:t>
            </w:r>
          </w:p>
        </w:tc>
      </w:tr>
      <w:tr w:rsidR="0066456C" w14:paraId="42912568" w14:textId="77777777" w:rsidTr="0066456C">
        <w:trPr>
          <w:trHeight w:val="224"/>
        </w:trPr>
        <w:tc>
          <w:tcPr>
            <w:tcW w:w="477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3A9794D" w14:textId="0A06F62E" w:rsidR="0066456C" w:rsidRDefault="0066456C" w:rsidP="0066456C">
            <w:pPr>
              <w:rPr>
                <w:b/>
                <w:bCs/>
                <w:sz w:val="20"/>
                <w:szCs w:val="20"/>
              </w:rPr>
            </w:pPr>
            <w:r>
              <w:rPr>
                <w:b/>
                <w:bCs/>
                <w:sz w:val="20"/>
                <w:szCs w:val="20"/>
              </w:rPr>
              <w:t>Africa / Middle East / Central Asia</w:t>
            </w:r>
          </w:p>
        </w:tc>
        <w:tc>
          <w:tcPr>
            <w:tcW w:w="278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79F62DA" w14:textId="5DA84795" w:rsidR="0066456C" w:rsidRDefault="0066456C" w:rsidP="0066456C">
            <w:pPr>
              <w:jc w:val="center"/>
              <w:rPr>
                <w:sz w:val="20"/>
                <w:szCs w:val="20"/>
              </w:rPr>
            </w:pPr>
            <w:r>
              <w:rPr>
                <w:sz w:val="20"/>
                <w:szCs w:val="20"/>
              </w:rPr>
              <w:t>€</w:t>
            </w:r>
            <w:r>
              <w:rPr>
                <w:sz w:val="20"/>
                <w:szCs w:val="20"/>
              </w:rPr>
              <w:t>1</w:t>
            </w:r>
            <w:r>
              <w:rPr>
                <w:sz w:val="20"/>
                <w:szCs w:val="20"/>
              </w:rPr>
              <w:t>.7B</w:t>
            </w:r>
          </w:p>
        </w:tc>
        <w:tc>
          <w:tcPr>
            <w:tcW w:w="179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8A023FB" w14:textId="1711F695" w:rsidR="0066456C" w:rsidRDefault="0066456C" w:rsidP="0066456C">
            <w:pPr>
              <w:jc w:val="center"/>
              <w:rPr>
                <w:sz w:val="20"/>
                <w:szCs w:val="20"/>
              </w:rPr>
            </w:pPr>
            <w:r>
              <w:rPr>
                <w:sz w:val="20"/>
                <w:szCs w:val="20"/>
              </w:rPr>
              <w:t>3</w:t>
            </w:r>
            <w:r>
              <w:rPr>
                <w:sz w:val="20"/>
                <w:szCs w:val="20"/>
              </w:rPr>
              <w:t>%</w:t>
            </w:r>
          </w:p>
        </w:tc>
      </w:tr>
    </w:tbl>
    <w:p w14:paraId="41A936D9" w14:textId="77777777" w:rsidR="0066456C" w:rsidRDefault="0066456C">
      <w:pPr>
        <w:spacing w:before="80"/>
      </w:pPr>
    </w:p>
    <w:p w14:paraId="14CAAF89" w14:textId="443A46CC" w:rsidR="0066456C" w:rsidRPr="0066456C" w:rsidRDefault="0066456C">
      <w:pPr>
        <w:spacing w:before="80"/>
        <w:rPr>
          <w:i/>
          <w:iCs/>
        </w:rPr>
      </w:pPr>
      <w:r w:rsidRPr="0066456C">
        <w:rPr>
          <w:i/>
          <w:iCs/>
        </w:rPr>
        <w:t>(Note: Added by Jérémie and Elie, will be integrated in future reports)</w:t>
      </w:r>
    </w:p>
    <w:p w14:paraId="245B2CBA" w14:textId="77777777" w:rsidR="0066456C" w:rsidRDefault="0066456C">
      <w:pPr>
        <w:spacing w:before="80"/>
      </w:pPr>
    </w:p>
    <w:p w14:paraId="2B145C7F" w14:textId="606F87BA" w:rsidR="00D30E77" w:rsidRDefault="00000000">
      <w:pPr>
        <w:pStyle w:val="Heading2"/>
        <w:pBdr>
          <w:bottom w:val="single" w:sz="4" w:space="1" w:color="2E5FA3"/>
        </w:pBdr>
      </w:pPr>
      <w:r>
        <w:t>1.</w:t>
      </w:r>
      <w:r w:rsidR="0066456C">
        <w:t>4</w:t>
      </w:r>
      <w:r>
        <w:t xml:space="preserve"> — Competitive Position</w:t>
      </w:r>
    </w:p>
    <w:p w14:paraId="472D3BFE" w14:textId="77777777" w:rsidR="00D30E77" w:rsidRDefault="00000000">
      <w:pPr>
        <w:spacing w:before="60" w:after="80"/>
      </w:pPr>
      <w:r>
        <w:t>The global rail equipment market is a concentrated oligopoly with high barriers to entry — long product cycles, complex regulatory homologation, large reference installations, and intensive R&amp;D requirements. Alstom's competitive position is structurally strong:</w:t>
      </w:r>
    </w:p>
    <w:p w14:paraId="2D636088" w14:textId="77777777" w:rsidR="00D30E77" w:rsidRDefault="00000000">
      <w:pPr>
        <w:pStyle w:val="ListParagraph"/>
        <w:numPr>
          <w:ilvl w:val="0"/>
          <w:numId w:val="2"/>
        </w:numPr>
        <w:spacing w:before="40" w:after="40"/>
      </w:pPr>
      <w:r>
        <w:rPr>
          <w:b/>
          <w:bCs/>
          <w:color w:val="1F3864"/>
        </w:rPr>
        <w:t xml:space="preserve">Position: </w:t>
      </w:r>
      <w:r>
        <w:t>#2 globally by revenue (after CRRC), #1 by relevance in non-Chinese markets. CRRC's dominance is largely Chinese domestic; outside China, Alstom is the leader.</w:t>
      </w:r>
    </w:p>
    <w:p w14:paraId="587B1267" w14:textId="77777777" w:rsidR="00D30E77" w:rsidRDefault="00000000">
      <w:pPr>
        <w:pStyle w:val="ListParagraph"/>
        <w:numPr>
          <w:ilvl w:val="0"/>
          <w:numId w:val="2"/>
        </w:numPr>
        <w:spacing w:before="40" w:after="40"/>
      </w:pPr>
      <w:r>
        <w:rPr>
          <w:b/>
          <w:bCs/>
          <w:color w:val="1F3864"/>
        </w:rPr>
        <w:t xml:space="preserve">Geographic: </w:t>
      </w:r>
      <w:r>
        <w:t>Europe is Alstom's home market and represents ~66% of FY24/25 order intake. Strong relationships with Deutsche Bahn (Germany), SNCF (France), Trenitalia (Italy), and other national operators. The €3.6B S-Bahn Rheinland contract in Germany — the largest of FY24/25 — demonstrates the depth of these relationships.</w:t>
      </w:r>
    </w:p>
    <w:p w14:paraId="047DE0D3" w14:textId="77777777" w:rsidR="00D30E77" w:rsidRDefault="00000000">
      <w:pPr>
        <w:pStyle w:val="ListParagraph"/>
        <w:numPr>
          <w:ilvl w:val="0"/>
          <w:numId w:val="2"/>
        </w:numPr>
        <w:spacing w:before="40" w:after="40"/>
      </w:pPr>
      <w:r>
        <w:rPr>
          <w:b/>
          <w:bCs/>
          <w:color w:val="1F3864"/>
        </w:rPr>
        <w:lastRenderedPageBreak/>
        <w:t xml:space="preserve">Geographic: </w:t>
      </w:r>
      <w:r>
        <w:t>Americas and Asia-Pacific are growth markets where Alstom competes with Siemens Mobility, Wabtec, Hitachi Rail, and CAF. Recent wins include the Avelia Horizon very high-speed contract in Morocco (€781M, financed by French Treasury) and Perth signalling in Australia (€700M).</w:t>
      </w:r>
    </w:p>
    <w:p w14:paraId="6C26A53D" w14:textId="77777777" w:rsidR="00D30E77" w:rsidRDefault="00000000">
      <w:pPr>
        <w:pStyle w:val="ListParagraph"/>
        <w:numPr>
          <w:ilvl w:val="0"/>
          <w:numId w:val="2"/>
        </w:numPr>
        <w:spacing w:before="40" w:after="40"/>
      </w:pPr>
      <w:r>
        <w:rPr>
          <w:b/>
          <w:bCs/>
          <w:color w:val="1F3864"/>
        </w:rPr>
        <w:t xml:space="preserve">Tailwind: </w:t>
      </w:r>
      <w:r>
        <w:t>EU Green Deal and carbon neutrality commitments create structural demand for rail. EU Taxonomy-aligned sales reached 66% of FY24/25 revenue (+6ppt YoY) — among the highest in the industrial sector.</w:t>
      </w:r>
    </w:p>
    <w:p w14:paraId="219E03E8" w14:textId="77777777" w:rsidR="00D30E77" w:rsidRDefault="00D30E77">
      <w:pPr>
        <w:spacing w:before="80"/>
      </w:pPr>
    </w:p>
    <w:p w14:paraId="4608A097" w14:textId="4D37AF31" w:rsidR="00D30E77" w:rsidRDefault="00000000">
      <w:pPr>
        <w:pStyle w:val="Heading2"/>
        <w:pBdr>
          <w:bottom w:val="single" w:sz="4" w:space="1" w:color="2E5FA3"/>
        </w:pBdr>
      </w:pPr>
      <w:r>
        <w:t>1.</w:t>
      </w:r>
      <w:r w:rsidR="0066456C">
        <w:t>5</w:t>
      </w:r>
      <w:r>
        <w:t xml:space="preserve"> — Recent Major Events</w:t>
      </w:r>
    </w:p>
    <w:p w14:paraId="54059B5E" w14:textId="77777777" w:rsidR="00D30E77" w:rsidRDefault="00000000">
      <w:pPr>
        <w:pStyle w:val="ListParagraph"/>
        <w:numPr>
          <w:ilvl w:val="0"/>
          <w:numId w:val="2"/>
        </w:numPr>
        <w:spacing w:before="40" w:after="40"/>
      </w:pPr>
      <w:r>
        <w:rPr>
          <w:b/>
          <w:bCs/>
          <w:color w:val="1F3864"/>
        </w:rPr>
        <w:t xml:space="preserve">Event: </w:t>
      </w:r>
      <w:r>
        <w:t>January 2021 — Bombardier Transportation acquisition closes. €5.5B enterprise value. Alstom becomes #2 globally. Transformational deal that defined the credit narrative for the following three years.</w:t>
      </w:r>
    </w:p>
    <w:p w14:paraId="76264F2B" w14:textId="77777777" w:rsidR="00D30E77" w:rsidRDefault="00000000">
      <w:pPr>
        <w:pStyle w:val="ListParagraph"/>
        <w:numPr>
          <w:ilvl w:val="0"/>
          <w:numId w:val="2"/>
        </w:numPr>
        <w:spacing w:before="40" w:after="40"/>
      </w:pPr>
      <w:r>
        <w:rPr>
          <w:b/>
          <w:bCs/>
          <w:color w:val="1F3864"/>
        </w:rPr>
        <w:t xml:space="preserve">Event: </w:t>
      </w:r>
      <w:r>
        <w:t>October 5, 2023 — Stock collapses ~38% after company announces unexpected FCF deterioration and warning. Moody's revises credit outlook to Negative. The crisis trigger.</w:t>
      </w:r>
    </w:p>
    <w:p w14:paraId="36B825A6" w14:textId="77777777" w:rsidR="00D30E77" w:rsidRDefault="00000000">
      <w:pPr>
        <w:pStyle w:val="ListParagraph"/>
        <w:numPr>
          <w:ilvl w:val="0"/>
          <w:numId w:val="2"/>
        </w:numPr>
        <w:spacing w:before="40" w:after="40"/>
      </w:pPr>
      <w:r>
        <w:rPr>
          <w:b/>
          <w:bCs/>
          <w:color w:val="1F3864"/>
        </w:rPr>
        <w:t xml:space="preserve">Event: </w:t>
      </w:r>
      <w:r>
        <w:t>Late 2023 to mid-2024 — Management designs and executes €2.31B deleveraging plan: (1) €1B rights issue, (2) €750M hybrid notes (rated Baa3/Ba2), (3) ~€600M sale of US conventional signalling activities to Knorr-Bremse (closed September 2024).</w:t>
      </w:r>
    </w:p>
    <w:p w14:paraId="518922E7" w14:textId="77777777" w:rsidR="00D30E77" w:rsidRDefault="00000000">
      <w:pPr>
        <w:pStyle w:val="ListParagraph"/>
        <w:numPr>
          <w:ilvl w:val="0"/>
          <w:numId w:val="2"/>
        </w:numPr>
        <w:spacing w:before="40" w:after="40"/>
      </w:pPr>
      <w:r>
        <w:rPr>
          <w:b/>
          <w:bCs/>
          <w:color w:val="1F3864"/>
        </w:rPr>
        <w:t xml:space="preserve">Event: </w:t>
      </w:r>
      <w:r>
        <w:t>June 13, 2024 — Moody's revises outlook from Negative to STABLE, affirms Baa3. Investment grade preserved. Alstom describes this as 'stabilisation of its Investment Grade rating'.</w:t>
      </w:r>
    </w:p>
    <w:p w14:paraId="150CCA58" w14:textId="77777777" w:rsidR="00D30E77" w:rsidRDefault="00000000">
      <w:pPr>
        <w:pStyle w:val="ListParagraph"/>
        <w:numPr>
          <w:ilvl w:val="0"/>
          <w:numId w:val="2"/>
        </w:numPr>
        <w:spacing w:before="40" w:after="40"/>
      </w:pPr>
      <w:r>
        <w:rPr>
          <w:b/>
          <w:bCs/>
          <w:color w:val="1F3864"/>
        </w:rPr>
        <w:t xml:space="preserve">Event: </w:t>
      </w:r>
      <w:r>
        <w:t>May 14, 2025 — FY 2024/25 full year results published. Moody's reaffirms Baa3 Stable. Adjusted EBIT margin recovers to 6.4%. FCF positive €502M. Net debt down to €434M.</w:t>
      </w:r>
    </w:p>
    <w:p w14:paraId="26BB3DF4" w14:textId="77777777" w:rsidR="00D30E77" w:rsidRDefault="00000000">
      <w:pPr>
        <w:pStyle w:val="ListParagraph"/>
        <w:numPr>
          <w:ilvl w:val="0"/>
          <w:numId w:val="2"/>
        </w:numPr>
        <w:spacing w:before="40" w:after="40"/>
      </w:pPr>
      <w:r>
        <w:rPr>
          <w:b/>
          <w:bCs/>
          <w:color w:val="1F3864"/>
        </w:rPr>
        <w:t xml:space="preserve">Event: </w:t>
      </w:r>
      <w:r>
        <w:t>January 2026 — Q3 FY25/26: €9.6B order intake (record quarterly result driven by Rolling Stock 63% of mix). Backlog crosses €100B threshold for first time.</w:t>
      </w:r>
    </w:p>
    <w:p w14:paraId="78448504" w14:textId="77777777" w:rsidR="00D30E77" w:rsidRDefault="00000000">
      <w:pPr>
        <w:pStyle w:val="ListParagraph"/>
        <w:numPr>
          <w:ilvl w:val="0"/>
          <w:numId w:val="2"/>
        </w:numPr>
        <w:spacing w:before="40" w:after="40"/>
      </w:pPr>
      <w:r>
        <w:rPr>
          <w:b/>
          <w:bCs/>
          <w:color w:val="1F3864"/>
        </w:rPr>
        <w:t xml:space="preserve">Event: </w:t>
      </w:r>
      <w:r>
        <w:t>April 2026 — Preliminary FY25/26 results: net debt ~€400M, FCF ~€330M within €200-400M guidance. Margins broadly stable at ~6.4%.</w:t>
      </w:r>
    </w:p>
    <w:p w14:paraId="77AFE050"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D30E77" w14:paraId="0B8E1EAA"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313D52A0" w14:textId="77777777" w:rsidR="00D30E77" w:rsidRDefault="00000000">
            <w:pPr>
              <w:jc w:val="center"/>
            </w:pPr>
            <w:r>
              <w:rPr>
                <w:b/>
                <w:bCs/>
                <w:color w:val="FFFFFF"/>
                <w:sz w:val="19"/>
                <w:szCs w:val="19"/>
              </w:rPr>
              <w:t>THE CREDIT NARRATIVE</w:t>
            </w:r>
          </w:p>
        </w:tc>
        <w:tc>
          <w:tcPr>
            <w:tcW w:w="8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18979DD1" w14:textId="08E613C8" w:rsidR="00D30E77" w:rsidRDefault="00000000">
            <w:r>
              <w:rPr>
                <w:color w:val="000000"/>
                <w:sz w:val="21"/>
                <w:szCs w:val="21"/>
              </w:rPr>
              <w:t xml:space="preserve">Alstom is the textbook case study of how a credit can deteriorate quickly during M&amp;A integration (2021-2023) and recover quickly when management executes a disciplined deleveraging plan (2024). The speed of execution — €2.56B of net debt reduction in twelve months — is exceptional for an industrial of this size and was the key driver of the rating outlook restoration. Itaú's credit team </w:t>
            </w:r>
            <w:r w:rsidR="0066456C">
              <w:rPr>
                <w:color w:val="000000"/>
                <w:sz w:val="21"/>
                <w:szCs w:val="21"/>
              </w:rPr>
              <w:t>c</w:t>
            </w:r>
            <w:r>
              <w:rPr>
                <w:color w:val="000000"/>
                <w:sz w:val="21"/>
                <w:szCs w:val="21"/>
              </w:rPr>
              <w:t>ould study this case as a benchmark for evaluating similar M&amp;A-driven stress credits.</w:t>
            </w:r>
          </w:p>
        </w:tc>
      </w:tr>
    </w:tbl>
    <w:p w14:paraId="663B1B06" w14:textId="77777777" w:rsidR="00D30E77" w:rsidRDefault="00D30E77">
      <w:pPr>
        <w:spacing w:before="80"/>
      </w:pPr>
    </w:p>
    <w:p w14:paraId="0488A906" w14:textId="77777777" w:rsidR="00D30E7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D30E77" w14:paraId="1C8001E6"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00" w:type="dxa"/>
              <w:bottom w:w="100" w:type="dxa"/>
              <w:right w:w="100" w:type="dxa"/>
            </w:tcMar>
            <w:vAlign w:val="center"/>
          </w:tcPr>
          <w:p w14:paraId="09C8F79E" w14:textId="77777777" w:rsidR="00D30E77" w:rsidRDefault="00000000">
            <w:pPr>
              <w:jc w:val="center"/>
            </w:pPr>
            <w:r>
              <w:rPr>
                <w:b/>
                <w:bCs/>
                <w:color w:val="FFFFFF"/>
                <w:sz w:val="44"/>
                <w:szCs w:val="44"/>
              </w:rPr>
              <w:lastRenderedPageBreak/>
              <w:t>STEP 2</w:t>
            </w:r>
          </w:p>
        </w:tc>
        <w:tc>
          <w:tcPr>
            <w:tcW w:w="84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240" w:type="dxa"/>
              <w:bottom w:w="100" w:type="dxa"/>
              <w:right w:w="120" w:type="dxa"/>
            </w:tcMar>
          </w:tcPr>
          <w:p w14:paraId="7DD010DB" w14:textId="77777777" w:rsidR="00D30E77" w:rsidRDefault="00000000">
            <w:pPr>
              <w:spacing w:after="40"/>
            </w:pPr>
            <w:r>
              <w:rPr>
                <w:b/>
                <w:bCs/>
                <w:color w:val="FFFFFF"/>
                <w:sz w:val="30"/>
                <w:szCs w:val="30"/>
              </w:rPr>
              <w:t>Financial Performance</w:t>
            </w:r>
          </w:p>
          <w:p w14:paraId="3223A50F" w14:textId="77777777" w:rsidR="00D30E77" w:rsidRDefault="00000000">
            <w:r>
              <w:rPr>
                <w:i/>
                <w:iCs/>
                <w:color w:val="BDD7EE"/>
                <w:sz w:val="18"/>
                <w:szCs w:val="18"/>
              </w:rPr>
              <w:t>Is the company profitable, growing, and earning quality cash?</w:t>
            </w:r>
          </w:p>
        </w:tc>
      </w:tr>
    </w:tbl>
    <w:p w14:paraId="75D59909" w14:textId="77777777" w:rsidR="00D30E77" w:rsidRDefault="00D30E77">
      <w:pPr>
        <w:spacing w:before="80"/>
      </w:pPr>
    </w:p>
    <w:p w14:paraId="6E522868" w14:textId="53D4DBE3" w:rsidR="00D30E77" w:rsidRDefault="00000000" w:rsidP="0066456C">
      <w:pPr>
        <w:spacing w:before="60" w:after="80"/>
      </w:pPr>
      <w:r>
        <w:t xml:space="preserve">Alstom's FY2024/25 performance reflects the inflection point of a multi-year turnaround. Revenue is growing modestly above inflation in organic terms, margins are expanding meaningfully (+70bps YoY at the adjusted EBIT level), and most importantly, cash generation has flipped from materially negative to materially positive. </w:t>
      </w:r>
    </w:p>
    <w:p w14:paraId="60E521A7" w14:textId="77777777" w:rsidR="00D30E77" w:rsidRDefault="00000000">
      <w:pPr>
        <w:pStyle w:val="Heading2"/>
        <w:pBdr>
          <w:bottom w:val="single" w:sz="4" w:space="1" w:color="2E5FA3"/>
        </w:pBdr>
      </w:pPr>
      <w:r>
        <w:t>2.1 — Revenue and Profitability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30E77" w14:paraId="0CBB669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5148F7E2" w14:textId="77777777" w:rsidR="00D30E77" w:rsidRDefault="00000000">
            <w:r>
              <w:rPr>
                <w:b/>
                <w:bCs/>
                <w:color w:val="FFFFFF"/>
                <w:sz w:val="20"/>
                <w:szCs w:val="20"/>
              </w:rPr>
              <w:t>KPI / 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775A685F" w14:textId="77777777" w:rsidR="00D30E77" w:rsidRDefault="00000000">
            <w:r>
              <w:rPr>
                <w:b/>
                <w:bCs/>
                <w:color w:val="FFFFFF"/>
                <w:sz w:val="20"/>
                <w:szCs w:val="20"/>
              </w:rPr>
              <w:t>Value (FY2024/25)</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62630B75" w14:textId="77777777" w:rsidR="00D30E77" w:rsidRDefault="00000000">
            <w:r>
              <w:rPr>
                <w:b/>
                <w:bCs/>
                <w:color w:val="FFFFFF"/>
                <w:sz w:val="20"/>
                <w:szCs w:val="20"/>
              </w:rPr>
              <w:t>Commentary</w:t>
            </w:r>
          </w:p>
        </w:tc>
      </w:tr>
      <w:tr w:rsidR="00D30E77" w14:paraId="5074135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C5B7597" w14:textId="77777777" w:rsidR="00D30E77" w:rsidRDefault="00000000">
            <w:r>
              <w:rPr>
                <w:b/>
                <w:bCs/>
                <w:sz w:val="20"/>
                <w:szCs w:val="20"/>
              </w:rPr>
              <w:t>Total Sales (FY24/25)</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BBAE751" w14:textId="77777777" w:rsidR="00D30E77" w:rsidRDefault="00000000">
            <w:pPr>
              <w:jc w:val="center"/>
            </w:pPr>
            <w:r>
              <w:rPr>
                <w:sz w:val="20"/>
                <w:szCs w:val="20"/>
              </w:rPr>
              <w:t>€18.5 billion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C48D083" w14:textId="77777777" w:rsidR="00D30E77" w:rsidRDefault="00000000">
            <w:r>
              <w:rPr>
                <w:sz w:val="20"/>
                <w:szCs w:val="20"/>
              </w:rPr>
              <w:t>+5% reported, +6.6% organic growth above European inflation. Driven by ramp-up of major projects in France, Italy, Australia.</w:t>
            </w:r>
          </w:p>
        </w:tc>
      </w:tr>
      <w:tr w:rsidR="00D30E77" w14:paraId="330412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17FEED" w14:textId="77777777" w:rsidR="00D30E77" w:rsidRDefault="00000000">
            <w:r>
              <w:rPr>
                <w:b/>
                <w:bCs/>
                <w:sz w:val="20"/>
                <w:szCs w:val="20"/>
              </w:rPr>
              <w:t>Adjusted EBIT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39B94A8" w14:textId="77777777" w:rsidR="00D30E77" w:rsidRDefault="00000000">
            <w:pPr>
              <w:jc w:val="center"/>
            </w:pPr>
            <w:r>
              <w:rPr>
                <w:sz w:val="20"/>
                <w:szCs w:val="20"/>
              </w:rPr>
              <w:t>€1,177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2A29A3F" w14:textId="77777777" w:rsidR="00D30E77" w:rsidRDefault="00000000">
            <w:r>
              <w:rPr>
                <w:sz w:val="20"/>
                <w:szCs w:val="20"/>
              </w:rPr>
              <w:t>+18% YoY. The headline credit metric — measure of underlying profitability before non-recurring items and PPA amortisation.</w:t>
            </w:r>
          </w:p>
        </w:tc>
      </w:tr>
      <w:tr w:rsidR="00D30E77" w14:paraId="10D0E79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E4B05ED" w14:textId="77777777" w:rsidR="00D30E77" w:rsidRDefault="00000000">
            <w:r>
              <w:rPr>
                <w:b/>
                <w:bCs/>
                <w:sz w:val="20"/>
                <w:szCs w:val="20"/>
              </w:rPr>
              <w:t>Adj. EBIT Margin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F2F2D5D" w14:textId="77777777" w:rsidR="00D30E77" w:rsidRDefault="00000000">
            <w:pPr>
              <w:jc w:val="center"/>
            </w:pPr>
            <w:r>
              <w:rPr>
                <w:sz w:val="20"/>
                <w:szCs w:val="20"/>
              </w:rPr>
              <w:t>6.4%</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FEC2194" w14:textId="77777777" w:rsidR="00D30E77" w:rsidRDefault="00000000">
            <w:r>
              <w:rPr>
                <w:sz w:val="20"/>
                <w:szCs w:val="20"/>
              </w:rPr>
              <w:t>+70bps YoY. Up from 5.7% in FY23/24. Medium-term ambition 8-10% by FY26/27 — meaningful upside remains.</w:t>
            </w:r>
          </w:p>
        </w:tc>
      </w:tr>
      <w:tr w:rsidR="00D30E77" w14:paraId="578DDA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9521208" w14:textId="77777777" w:rsidR="00D30E77" w:rsidRDefault="00000000">
            <w:r>
              <w:rPr>
                <w:b/>
                <w:bCs/>
                <w:sz w:val="20"/>
                <w:szCs w:val="20"/>
              </w:rPr>
              <w:t>EBIT Before PPA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C8A85E4" w14:textId="77777777" w:rsidR="00D30E77" w:rsidRDefault="00000000">
            <w:pPr>
              <w:jc w:val="center"/>
            </w:pPr>
            <w:r>
              <w:rPr>
                <w:sz w:val="20"/>
                <w:szCs w:val="20"/>
              </w:rPr>
              <w:t>€831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93F2C29" w14:textId="77777777" w:rsidR="00D30E77" w:rsidRDefault="00000000">
            <w:r>
              <w:rPr>
                <w:sz w:val="20"/>
                <w:szCs w:val="20"/>
              </w:rPr>
              <w:t>Higher than adjusted EBIT in some periods due to PPA mechanics. Up from €356M in FY23/24 — 134% improvement.</w:t>
            </w:r>
          </w:p>
        </w:tc>
      </w:tr>
      <w:tr w:rsidR="00D30E77" w14:paraId="67D50E3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801E7B4" w14:textId="77777777" w:rsidR="00D30E77" w:rsidRDefault="00000000">
            <w:r>
              <w:rPr>
                <w:b/>
                <w:bCs/>
                <w:sz w:val="20"/>
                <w:szCs w:val="20"/>
              </w:rPr>
              <w:t>Non-Operating Expenses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C22EF9B" w14:textId="77777777" w:rsidR="00D30E77" w:rsidRDefault="00000000">
            <w:pPr>
              <w:jc w:val="center"/>
            </w:pPr>
            <w:r>
              <w:rPr>
                <w:sz w:val="20"/>
                <w:szCs w:val="20"/>
              </w:rPr>
              <w:t>€(198)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634EF9E1" w14:textId="77777777" w:rsidR="00D30E77" w:rsidRDefault="00000000">
            <w:r>
              <w:rPr>
                <w:sz w:val="20"/>
                <w:szCs w:val="20"/>
              </w:rPr>
              <w:t>Down from €(510)M in FY23/24. Reflects completion of restructuring and integration charges from Bombardier.</w:t>
            </w:r>
          </w:p>
        </w:tc>
      </w:tr>
      <w:tr w:rsidR="00D30E77" w14:paraId="3B7CE9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38F603E" w14:textId="77777777" w:rsidR="00D30E77" w:rsidRDefault="00000000">
            <w:r>
              <w:rPr>
                <w:b/>
                <w:bCs/>
                <w:sz w:val="20"/>
                <w:szCs w:val="20"/>
              </w:rPr>
              <w:t>Net Financial Result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6C2BEC" w14:textId="77777777" w:rsidR="00D30E77" w:rsidRDefault="00000000">
            <w:pPr>
              <w:jc w:val="center"/>
            </w:pPr>
            <w:r>
              <w:rPr>
                <w:sz w:val="20"/>
                <w:szCs w:val="20"/>
              </w:rPr>
              <w:t>€(214)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DDF13F" w14:textId="77777777" w:rsidR="00D30E77" w:rsidRDefault="00000000">
            <w:r>
              <w:rPr>
                <w:sz w:val="20"/>
                <w:szCs w:val="20"/>
              </w:rPr>
              <w:t>Interest on debt and hybrid coupon. Will normalize lower as net debt is reduced.</w:t>
            </w:r>
          </w:p>
        </w:tc>
      </w:tr>
      <w:tr w:rsidR="00D30E77" w14:paraId="2B6E99C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204CE5E" w14:textId="77777777" w:rsidR="00D30E77" w:rsidRDefault="00000000">
            <w:r>
              <w:rPr>
                <w:b/>
                <w:bCs/>
                <w:sz w:val="20"/>
                <w:szCs w:val="20"/>
              </w:rPr>
              <w:t>Adjusted Net Profit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D6DCCA8" w14:textId="77777777" w:rsidR="00D30E77" w:rsidRDefault="00000000">
            <w:pPr>
              <w:jc w:val="center"/>
            </w:pPr>
            <w:r>
              <w:rPr>
                <w:sz w:val="20"/>
                <w:szCs w:val="20"/>
              </w:rPr>
              <w:t>€498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8512113" w14:textId="77777777" w:rsidR="00D30E77" w:rsidRDefault="00000000">
            <w:r>
              <w:rPr>
                <w:sz w:val="20"/>
                <w:szCs w:val="20"/>
              </w:rPr>
              <w:t>Restated profitability measure used by management. The relevant figure for FCF conversion targets.</w:t>
            </w:r>
          </w:p>
        </w:tc>
      </w:tr>
      <w:tr w:rsidR="00D30E77" w14:paraId="2F10BB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0EA396" w14:textId="77777777" w:rsidR="00D30E77" w:rsidRDefault="00000000">
            <w:r>
              <w:rPr>
                <w:b/>
                <w:bCs/>
                <w:sz w:val="20"/>
                <w:szCs w:val="20"/>
              </w:rPr>
              <w:t>Net Income (Group Share)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A69D17" w14:textId="77777777" w:rsidR="00D30E77" w:rsidRDefault="00000000">
            <w:pPr>
              <w:jc w:val="center"/>
            </w:pPr>
            <w:r>
              <w:rPr>
                <w:sz w:val="20"/>
                <w:szCs w:val="20"/>
              </w:rPr>
              <w:t>€149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3E54EE7" w14:textId="77777777" w:rsidR="00D30E77" w:rsidRDefault="00000000">
            <w:r>
              <w:rPr>
                <w:sz w:val="20"/>
                <w:szCs w:val="20"/>
              </w:rPr>
              <w:t>Statutory bottom line. Lower than adjusted profit due to PPA amortisation from Bombardier acquisition still flowing through P&amp;L.</w:t>
            </w:r>
          </w:p>
        </w:tc>
      </w:tr>
      <w:tr w:rsidR="00D30E77" w14:paraId="5BAA982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FFD9C51" w14:textId="77777777" w:rsidR="00D30E77" w:rsidRDefault="00000000">
            <w:r>
              <w:rPr>
                <w:b/>
                <w:bCs/>
                <w:sz w:val="20"/>
                <w:szCs w:val="20"/>
              </w:rPr>
              <w:t>R&amp;D Expenditure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F62A48C" w14:textId="77777777" w:rsidR="00D30E77" w:rsidRDefault="00000000">
            <w:pPr>
              <w:jc w:val="center"/>
            </w:pPr>
            <w:r>
              <w:rPr>
                <w:sz w:val="20"/>
                <w:szCs w:val="20"/>
              </w:rPr>
              <w:t>3.8% of sales</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64F4F85" w14:textId="77777777" w:rsidR="00D30E77" w:rsidRDefault="00000000">
            <w:r>
              <w:rPr>
                <w:sz w:val="20"/>
                <w:szCs w:val="20"/>
              </w:rPr>
              <w:t>€703M absolute. Reflects ongoing investment in next-generation rail technology including ERTMS, hydrogen trains, and autonomous metro systems.</w:t>
            </w:r>
          </w:p>
        </w:tc>
      </w:tr>
    </w:tbl>
    <w:p w14:paraId="3A9BED28"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D30E77" w14:paraId="4C358628"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0AE5DAF8" w14:textId="77777777" w:rsidR="00D30E77" w:rsidRDefault="00000000">
            <w:pPr>
              <w:jc w:val="center"/>
            </w:pPr>
            <w:r>
              <w:rPr>
                <w:b/>
                <w:bCs/>
                <w:color w:val="FFFFFF"/>
                <w:sz w:val="19"/>
                <w:szCs w:val="19"/>
              </w:rPr>
              <w:t>THE GROSS MARGIN STORY</w:t>
            </w:r>
          </w:p>
        </w:tc>
        <w:tc>
          <w:tcPr>
            <w:tcW w:w="8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2F0E21DA" w14:textId="77777777" w:rsidR="00D30E77" w:rsidRDefault="00000000">
            <w:r>
              <w:rPr>
                <w:color w:val="000000"/>
                <w:sz w:val="21"/>
                <w:szCs w:val="21"/>
              </w:rPr>
              <w:t xml:space="preserve">The most important profitability indicator for a long-cycle industrial like Alstom is not current-period EBIT margin — it is the gross margin in the backlog. This is the margin embedded in contracts already signed and being executed. At 17.8% as of March 2025 (+30bps YoY), this figure shows that new orders are being booked at significantly higher margins than legacy Bombardier contracts. As legacy contracts burn off and new contracts ramp up, the reported EBIT margin will mechanically </w:t>
            </w:r>
            <w:r>
              <w:rPr>
                <w:color w:val="000000"/>
                <w:sz w:val="21"/>
                <w:szCs w:val="21"/>
              </w:rPr>
              <w:lastRenderedPageBreak/>
              <w:t>converge toward the backlog gross margin — supporting management's 8-10% medium-term ambition.</w:t>
            </w:r>
          </w:p>
        </w:tc>
      </w:tr>
    </w:tbl>
    <w:p w14:paraId="3C687DD4" w14:textId="77777777" w:rsidR="00D30E77" w:rsidRDefault="00D30E77">
      <w:pPr>
        <w:spacing w:before="80"/>
      </w:pPr>
    </w:p>
    <w:p w14:paraId="0FB00AEE" w14:textId="77777777" w:rsidR="00D30E77" w:rsidRDefault="00000000">
      <w:pPr>
        <w:pStyle w:val="Heading2"/>
        <w:pBdr>
          <w:bottom w:val="single" w:sz="4" w:space="1" w:color="2E5FA3"/>
        </w:pBdr>
      </w:pPr>
      <w:r>
        <w:t>2.2 — Margin Bridge Analysis (FY23/24 → FY24/25)</w:t>
      </w:r>
    </w:p>
    <w:p w14:paraId="6FA008ED" w14:textId="77777777" w:rsidR="00D30E77" w:rsidRDefault="00000000">
      <w:pPr>
        <w:spacing w:before="60" w:after="80"/>
      </w:pPr>
      <w:r>
        <w:t>Management has provided a detailed bridge explaining how the 70bps improvement in adjusted EBIT margin was achieved. This level of transparency is helpful for credit analysis because it identifies which drivers are sustainable and which are non-recurring:</w:t>
      </w:r>
    </w:p>
    <w:p w14:paraId="69835C57" w14:textId="77777777" w:rsidR="00D30E77" w:rsidRDefault="00000000">
      <w:pPr>
        <w:pStyle w:val="ListParagraph"/>
        <w:numPr>
          <w:ilvl w:val="0"/>
          <w:numId w:val="2"/>
        </w:numPr>
        <w:spacing w:before="40" w:after="40"/>
      </w:pPr>
      <w:r>
        <w:rPr>
          <w:b/>
          <w:bCs/>
          <w:color w:val="1F3864"/>
        </w:rPr>
        <w:t xml:space="preserve">Driver +30bps: </w:t>
      </w:r>
      <w:r>
        <w:t>Gross margin expansion: +30bps — from increased volume and favourable contract mix. SUSTAINABLE.</w:t>
      </w:r>
    </w:p>
    <w:p w14:paraId="6F7A5330" w14:textId="77777777" w:rsidR="00D30E77" w:rsidRDefault="00000000">
      <w:pPr>
        <w:pStyle w:val="ListParagraph"/>
        <w:numPr>
          <w:ilvl w:val="0"/>
          <w:numId w:val="2"/>
        </w:numPr>
        <w:spacing w:before="40" w:after="40"/>
      </w:pPr>
      <w:r>
        <w:rPr>
          <w:b/>
          <w:bCs/>
          <w:color w:val="1F3864"/>
        </w:rPr>
        <w:t xml:space="preserve">Driver +60bps: </w:t>
      </w:r>
      <w:r>
        <w:t>Cost savings programme: +60bps — overhead efficiency initiatives, SG&amp;A reduced to 5.7% of sales from 6.6% baseline. SUSTAINABLE.</w:t>
      </w:r>
    </w:p>
    <w:p w14:paraId="42D6539F" w14:textId="77777777" w:rsidR="00D30E77" w:rsidRDefault="00000000">
      <w:pPr>
        <w:pStyle w:val="ListParagraph"/>
        <w:numPr>
          <w:ilvl w:val="0"/>
          <w:numId w:val="2"/>
        </w:numPr>
        <w:spacing w:before="40" w:after="40"/>
      </w:pPr>
      <w:r>
        <w:rPr>
          <w:b/>
          <w:bCs/>
          <w:color w:val="1F3864"/>
        </w:rPr>
        <w:t xml:space="preserve">Driver +30bps: </w:t>
      </w:r>
      <w:r>
        <w:t>R&amp;D phasing: +30bps — timing-driven, R&amp;D spend reduced as % of sales temporarily. PARTIALLY SUSTAINABLE.</w:t>
      </w:r>
    </w:p>
    <w:p w14:paraId="3352C5EA" w14:textId="77777777" w:rsidR="00D30E77" w:rsidRDefault="00000000">
      <w:pPr>
        <w:pStyle w:val="ListParagraph"/>
        <w:numPr>
          <w:ilvl w:val="0"/>
          <w:numId w:val="2"/>
        </w:numPr>
        <w:spacing w:before="40" w:after="40"/>
      </w:pPr>
      <w:r>
        <w:rPr>
          <w:b/>
          <w:bCs/>
          <w:color w:val="1F3864"/>
        </w:rPr>
        <w:t xml:space="preserve">Driver −20bps: </w:t>
      </w:r>
      <w:r>
        <w:t>Scope impact: −20bps — divestiture of US conventional signalling to Knorr-Bremse. NEGATIVE BUT NON-RECURRING.</w:t>
      </w:r>
    </w:p>
    <w:p w14:paraId="097F82F8" w14:textId="77777777" w:rsidR="00D30E77" w:rsidRDefault="00000000">
      <w:pPr>
        <w:pStyle w:val="ListParagraph"/>
        <w:numPr>
          <w:ilvl w:val="0"/>
          <w:numId w:val="2"/>
        </w:numPr>
        <w:spacing w:before="40" w:after="40"/>
      </w:pPr>
      <w:r>
        <w:rPr>
          <w:b/>
          <w:bCs/>
          <w:color w:val="1F3864"/>
        </w:rPr>
        <w:t xml:space="preserve">Driver −30bps: </w:t>
      </w:r>
      <w:r>
        <w:t>Legacy portfolio: −30bps — drag from completing low-margin Bombardier contracts. NON-RECURRING (will fade as legacy burns off).</w:t>
      </w:r>
    </w:p>
    <w:p w14:paraId="7BD01937"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D30E77" w14:paraId="618CA5FC"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79644ADD" w14:textId="77777777" w:rsidR="00D30E77" w:rsidRDefault="00000000">
            <w:pPr>
              <w:jc w:val="center"/>
            </w:pPr>
            <w:r>
              <w:rPr>
                <w:b/>
                <w:bCs/>
                <w:color w:val="FFFFFF"/>
                <w:sz w:val="19"/>
                <w:szCs w:val="19"/>
              </w:rPr>
              <w:t>CREDIT VERDICT</w:t>
            </w:r>
          </w:p>
        </w:tc>
        <w:tc>
          <w:tcPr>
            <w:tcW w:w="8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1798F21B" w14:textId="77777777" w:rsidR="00D30E77" w:rsidRDefault="00000000">
            <w:r>
              <w:rPr>
                <w:color w:val="000000"/>
                <w:sz w:val="21"/>
                <w:szCs w:val="21"/>
              </w:rPr>
              <w:t>The margin expansion is high quality. The two largest contributors (cost savings +60bps and gross margin expansion +30bps) are structural and sustainable. The legacy portfolio drag of −30bps will reverse as Bombardier-era contracts complete. This trajectory supports the path to 8-10% medium-term margin ambition.</w:t>
            </w:r>
          </w:p>
        </w:tc>
      </w:tr>
    </w:tbl>
    <w:p w14:paraId="6BC8ACE1" w14:textId="77777777" w:rsidR="00D30E77" w:rsidRDefault="00D30E77">
      <w:pPr>
        <w:spacing w:before="80"/>
      </w:pPr>
    </w:p>
    <w:p w14:paraId="0C9D2901" w14:textId="77777777" w:rsidR="00D30E7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D30E77" w14:paraId="76C329C7"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00" w:type="dxa"/>
              <w:bottom w:w="100" w:type="dxa"/>
              <w:right w:w="100" w:type="dxa"/>
            </w:tcMar>
            <w:vAlign w:val="center"/>
          </w:tcPr>
          <w:p w14:paraId="043AC92F" w14:textId="77777777" w:rsidR="00D30E77" w:rsidRDefault="00000000">
            <w:pPr>
              <w:jc w:val="center"/>
            </w:pPr>
            <w:r>
              <w:rPr>
                <w:b/>
                <w:bCs/>
                <w:color w:val="FFFFFF"/>
                <w:sz w:val="44"/>
                <w:szCs w:val="44"/>
              </w:rPr>
              <w:lastRenderedPageBreak/>
              <w:t>STEP 3</w:t>
            </w:r>
          </w:p>
        </w:tc>
        <w:tc>
          <w:tcPr>
            <w:tcW w:w="84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240" w:type="dxa"/>
              <w:bottom w:w="100" w:type="dxa"/>
              <w:right w:w="120" w:type="dxa"/>
            </w:tcMar>
          </w:tcPr>
          <w:p w14:paraId="5E44BDEE" w14:textId="77777777" w:rsidR="00D30E77" w:rsidRDefault="00000000">
            <w:pPr>
              <w:spacing w:after="40"/>
            </w:pPr>
            <w:r>
              <w:rPr>
                <w:b/>
                <w:bCs/>
                <w:color w:val="FFFFFF"/>
                <w:sz w:val="30"/>
                <w:szCs w:val="30"/>
              </w:rPr>
              <w:t>Leverage &amp; Debt Structure</w:t>
            </w:r>
          </w:p>
          <w:p w14:paraId="0E373399" w14:textId="77777777" w:rsidR="00D30E77" w:rsidRDefault="00000000">
            <w:r>
              <w:rPr>
                <w:i/>
                <w:iCs/>
                <w:color w:val="BDD7EE"/>
                <w:sz w:val="18"/>
                <w:szCs w:val="18"/>
              </w:rPr>
              <w:t>How did Alstom recover its credit profile?</w:t>
            </w:r>
          </w:p>
        </w:tc>
      </w:tr>
    </w:tbl>
    <w:p w14:paraId="3826B626" w14:textId="77777777" w:rsidR="00D30E77" w:rsidRDefault="00D30E77">
      <w:pPr>
        <w:spacing w:before="80"/>
      </w:pPr>
    </w:p>
    <w:p w14:paraId="40269736" w14:textId="77777777" w:rsidR="00D30E77" w:rsidRDefault="00000000">
      <w:pPr>
        <w:spacing w:before="60" w:after="80"/>
      </w:pPr>
      <w:r>
        <w:t>Alstom's leverage trajectory tells one of the most instructive credit recovery stories in European industrials. The company went from comfortable investment grade in 2020 to credit watch territory in 2023 to fully restored stable Baa3 investment grade by mid-2024 — all within four years. The table below documents the full trajectory:</w:t>
      </w:r>
    </w:p>
    <w:p w14:paraId="2383D06E"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D30E77" w14:paraId="469DE3C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12DFCF53" w14:textId="77777777" w:rsidR="00D30E77" w:rsidRDefault="00000000">
            <w:r>
              <w:rPr>
                <w:b/>
                <w:bCs/>
                <w:color w:val="FFFFFF"/>
                <w:sz w:val="20"/>
                <w:szCs w:val="20"/>
              </w:rPr>
              <w:t>Period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2F2161F2" w14:textId="77777777" w:rsidR="00D30E77" w:rsidRDefault="00000000">
            <w:r>
              <w:rPr>
                <w:b/>
                <w:bCs/>
                <w:color w:val="FFFFFF"/>
                <w:sz w:val="20"/>
                <w:szCs w:val="20"/>
              </w:rPr>
              <w:t>Net Debt</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2EB73CA2" w14:textId="77777777" w:rsidR="00D30E77" w:rsidRDefault="00000000">
            <w:r>
              <w:rPr>
                <w:b/>
                <w:bCs/>
                <w:color w:val="FFFFFF"/>
                <w:sz w:val="20"/>
                <w:szCs w:val="20"/>
              </w:rPr>
              <w:t>Driver / Event</w:t>
            </w:r>
          </w:p>
        </w:tc>
      </w:tr>
      <w:tr w:rsidR="00D30E77" w14:paraId="4359A54B"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3238035D" w14:textId="77777777" w:rsidR="00D30E77" w:rsidRDefault="00000000">
            <w:r>
              <w:rPr>
                <w:b/>
                <w:bCs/>
                <w:sz w:val="20"/>
                <w:szCs w:val="20"/>
              </w:rPr>
              <w:t>FY 2020/21</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29E5D7DC" w14:textId="77777777" w:rsidR="00D30E77" w:rsidRDefault="00000000">
            <w:pPr>
              <w:jc w:val="center"/>
            </w:pPr>
            <w:r>
              <w:rPr>
                <w:b/>
                <w:bCs/>
                <w:sz w:val="20"/>
                <w:szCs w:val="20"/>
              </w:rPr>
              <w:t>~€1.7B</w:t>
            </w:r>
          </w:p>
        </w:tc>
        <w:tc>
          <w:tcPr>
            <w:tcW w:w="5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7196DAED" w14:textId="77777777" w:rsidR="00D30E77" w:rsidRDefault="00000000">
            <w:r>
              <w:rPr>
                <w:sz w:val="19"/>
                <w:szCs w:val="19"/>
              </w:rPr>
              <w:t>Pre-Bombardier acquisition. Solid investment grade balance sheet.</w:t>
            </w:r>
          </w:p>
        </w:tc>
      </w:tr>
      <w:tr w:rsidR="00D30E77" w14:paraId="7C6C25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6126F700" w14:textId="77777777" w:rsidR="00D30E77" w:rsidRDefault="00000000">
            <w:r>
              <w:rPr>
                <w:b/>
                <w:bCs/>
                <w:sz w:val="20"/>
                <w:szCs w:val="20"/>
              </w:rPr>
              <w:t>FY 2021/22</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2EDEA327" w14:textId="77777777" w:rsidR="00D30E77" w:rsidRDefault="00000000">
            <w:pPr>
              <w:jc w:val="center"/>
            </w:pPr>
            <w:r>
              <w:rPr>
                <w:b/>
                <w:bCs/>
                <w:sz w:val="20"/>
                <w:szCs w:val="20"/>
              </w:rPr>
              <w:t>~€2.1B</w:t>
            </w:r>
          </w:p>
        </w:tc>
        <w:tc>
          <w:tcPr>
            <w:tcW w:w="5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2E25D514" w14:textId="77777777" w:rsidR="00D30E77" w:rsidRDefault="00000000">
            <w:r>
              <w:rPr>
                <w:sz w:val="19"/>
                <w:szCs w:val="19"/>
              </w:rPr>
              <w:t>Bombardier Transportation closed Jan 2021 (€5.5B EV). Integration begins. Backlog grows but cash consumed.</w:t>
            </w:r>
          </w:p>
        </w:tc>
      </w:tr>
      <w:tr w:rsidR="00D30E77" w14:paraId="02F308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5BF2F287" w14:textId="77777777" w:rsidR="00D30E77" w:rsidRDefault="00000000">
            <w:r>
              <w:rPr>
                <w:b/>
                <w:bCs/>
                <w:sz w:val="20"/>
                <w:szCs w:val="20"/>
              </w:rPr>
              <w:t>FY 2022/23</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124F02C8" w14:textId="77777777" w:rsidR="00D30E77" w:rsidRDefault="00000000">
            <w:pPr>
              <w:jc w:val="center"/>
            </w:pPr>
            <w:r>
              <w:rPr>
                <w:b/>
                <w:bCs/>
                <w:sz w:val="20"/>
                <w:szCs w:val="20"/>
              </w:rPr>
              <w:t>~€2.6B</w:t>
            </w:r>
          </w:p>
        </w:tc>
        <w:tc>
          <w:tcPr>
            <w:tcW w:w="5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7C2A6F0C" w14:textId="77777777" w:rsidR="00D30E77" w:rsidRDefault="00000000">
            <w:r>
              <w:rPr>
                <w:sz w:val="19"/>
                <w:szCs w:val="19"/>
              </w:rPr>
              <w:t>Working capital deterioration on legacy Bombardier contracts. Negative FCF €(992)M. Credit on watch.</w:t>
            </w:r>
          </w:p>
        </w:tc>
      </w:tr>
      <w:tr w:rsidR="00D30E77" w14:paraId="2F015CD9"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409F10A2" w14:textId="77777777" w:rsidR="00D30E77" w:rsidRDefault="00000000">
            <w:r>
              <w:rPr>
                <w:b/>
                <w:bCs/>
                <w:sz w:val="20"/>
                <w:szCs w:val="20"/>
              </w:rPr>
              <w:t>FY 2023/24</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314DF245" w14:textId="77777777" w:rsidR="00D30E77" w:rsidRDefault="00000000">
            <w:pPr>
              <w:jc w:val="center"/>
            </w:pPr>
            <w:r>
              <w:rPr>
                <w:b/>
                <w:bCs/>
                <w:sz w:val="20"/>
                <w:szCs w:val="20"/>
              </w:rPr>
              <w:t>€(2,994)M</w:t>
            </w:r>
          </w:p>
        </w:tc>
        <w:tc>
          <w:tcPr>
            <w:tcW w:w="5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80" w:type="dxa"/>
            </w:tcMar>
          </w:tcPr>
          <w:p w14:paraId="1653FC43" w14:textId="77777777" w:rsidR="00D30E77" w:rsidRDefault="00000000">
            <w:r>
              <w:rPr>
                <w:sz w:val="19"/>
                <w:szCs w:val="19"/>
              </w:rPr>
              <w:t>PEAK STRESS. FCF €(557)M. Moody's outlook revised to negative Oct 2023. Stock collapses ~38% on Oct 5, 2023.</w:t>
            </w:r>
          </w:p>
        </w:tc>
      </w:tr>
      <w:tr w:rsidR="00D30E77" w14:paraId="534A59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6253C7BF" w14:textId="77777777" w:rsidR="00D30E77" w:rsidRDefault="00000000">
            <w:r>
              <w:rPr>
                <w:b/>
                <w:bCs/>
                <w:sz w:val="20"/>
                <w:szCs w:val="20"/>
              </w:rPr>
              <w:t>May 2024</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4322DF33" w14:textId="77777777" w:rsidR="00D30E77" w:rsidRDefault="00000000">
            <w:pPr>
              <w:jc w:val="center"/>
            </w:pPr>
            <w:r>
              <w:rPr>
                <w:b/>
                <w:bCs/>
                <w:sz w:val="20"/>
                <w:szCs w:val="20"/>
              </w:rPr>
              <w:t>Deleveraging plan</w:t>
            </w:r>
          </w:p>
        </w:tc>
        <w:tc>
          <w:tcPr>
            <w:tcW w:w="5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2BD98830" w14:textId="77777777" w:rsidR="00D30E77" w:rsidRDefault="00000000">
            <w:r>
              <w:rPr>
                <w:sz w:val="19"/>
                <w:szCs w:val="19"/>
              </w:rPr>
              <w:t>€2.31B program: €1B rights issue, €750M hybrid (Baa3/Ba2), €600M US signalling sale to Knorr-Bremse.</w:t>
            </w:r>
          </w:p>
        </w:tc>
      </w:tr>
      <w:tr w:rsidR="00D30E77" w14:paraId="38F78984"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664729BA" w14:textId="77777777" w:rsidR="00D30E77" w:rsidRDefault="00000000">
            <w:r>
              <w:rPr>
                <w:b/>
                <w:bCs/>
                <w:sz w:val="20"/>
                <w:szCs w:val="20"/>
              </w:rPr>
              <w:t>June 2024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5318B4E3" w14:textId="77777777" w:rsidR="00D30E77" w:rsidRDefault="00000000">
            <w:pPr>
              <w:jc w:val="center"/>
            </w:pPr>
            <w:r>
              <w:rPr>
                <w:b/>
                <w:bCs/>
                <w:sz w:val="20"/>
                <w:szCs w:val="20"/>
              </w:rPr>
              <w:t>Baa3 STABLE</w:t>
            </w:r>
          </w:p>
        </w:tc>
        <w:tc>
          <w:tcPr>
            <w:tcW w:w="5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75E04D04" w14:textId="77777777" w:rsidR="00D30E77" w:rsidRDefault="00000000">
            <w:r>
              <w:rPr>
                <w:sz w:val="19"/>
                <w:szCs w:val="19"/>
              </w:rPr>
              <w:t>Moody's revises outlook to STABLE — investment grade rating preserved.</w:t>
            </w:r>
          </w:p>
        </w:tc>
      </w:tr>
      <w:tr w:rsidR="00D30E77" w14:paraId="021A4F1E"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0B63588F" w14:textId="77777777" w:rsidR="00D30E77" w:rsidRDefault="00000000">
            <w:r>
              <w:rPr>
                <w:b/>
                <w:bCs/>
                <w:sz w:val="20"/>
                <w:szCs w:val="20"/>
              </w:rPr>
              <w:t>FY 2024/25</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7D4923FD" w14:textId="77777777" w:rsidR="00D30E77" w:rsidRDefault="00000000">
            <w:pPr>
              <w:jc w:val="center"/>
            </w:pPr>
            <w:r>
              <w:rPr>
                <w:b/>
                <w:bCs/>
                <w:sz w:val="20"/>
                <w:szCs w:val="20"/>
              </w:rPr>
              <w:t>€(434)M</w:t>
            </w:r>
          </w:p>
        </w:tc>
        <w:tc>
          <w:tcPr>
            <w:tcW w:w="5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79F68A08" w14:textId="77777777" w:rsidR="00D30E77" w:rsidRDefault="00000000">
            <w:r>
              <w:rPr>
                <w:sz w:val="19"/>
                <w:szCs w:val="19"/>
              </w:rPr>
              <w:t>Net debt cut R$2.56B in one year. FCF +€502M (vs −€557M prior). Margins recovering.</w:t>
            </w:r>
          </w:p>
        </w:tc>
      </w:tr>
      <w:tr w:rsidR="00D30E77" w14:paraId="360D898A"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4659EF44" w14:textId="77777777" w:rsidR="00D30E77" w:rsidRDefault="00000000">
            <w:r>
              <w:rPr>
                <w:b/>
                <w:bCs/>
                <w:sz w:val="20"/>
                <w:szCs w:val="20"/>
              </w:rPr>
              <w:t>FY 2025/26 (March 2026)</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033CD47B" w14:textId="77777777" w:rsidR="00D30E77" w:rsidRDefault="00000000">
            <w:pPr>
              <w:jc w:val="center"/>
            </w:pPr>
            <w:r>
              <w:rPr>
                <w:b/>
                <w:bCs/>
                <w:sz w:val="20"/>
                <w:szCs w:val="20"/>
              </w:rPr>
              <w:t>~€(400)M</w:t>
            </w:r>
          </w:p>
        </w:tc>
        <w:tc>
          <w:tcPr>
            <w:tcW w:w="5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4FB035D2" w14:textId="77777777" w:rsidR="00D30E77" w:rsidRDefault="00000000">
            <w:r>
              <w:rPr>
                <w:sz w:val="19"/>
                <w:szCs w:val="19"/>
              </w:rPr>
              <w:t>Roughly stable. FCF €330M within €200-400M guidance. Backlog now €100B+.</w:t>
            </w:r>
          </w:p>
        </w:tc>
      </w:tr>
    </w:tbl>
    <w:p w14:paraId="40625238" w14:textId="77777777" w:rsidR="00D30E77" w:rsidRDefault="00D30E77">
      <w:pPr>
        <w:spacing w:before="80"/>
      </w:pPr>
    </w:p>
    <w:p w14:paraId="16F8F514" w14:textId="77777777" w:rsidR="00D30E77" w:rsidRDefault="00000000">
      <w:pPr>
        <w:pStyle w:val="Heading2"/>
        <w:pBdr>
          <w:bottom w:val="single" w:sz="4" w:space="1" w:color="2E5FA3"/>
        </w:pBdr>
      </w:pPr>
      <w:r>
        <w:t>3.1 — The Deleveraging Plan in Detail</w:t>
      </w:r>
    </w:p>
    <w:p w14:paraId="67DEC5B9" w14:textId="77777777" w:rsidR="00D30E77" w:rsidRDefault="00000000">
      <w:pPr>
        <w:spacing w:before="60" w:after="80"/>
      </w:pPr>
      <w:r>
        <w:t>After Moody's revised the credit outlook to Negative in October 2023, Alstom committed to a €2.0-2.5 billion deleveraging plan to be executed within twelve months. The plan was structured to preserve investment grade rating while minimising shareholder dilution. The three components:</w:t>
      </w:r>
    </w:p>
    <w:p w14:paraId="685432A8" w14:textId="77777777" w:rsidR="00D30E77" w:rsidRDefault="00000000">
      <w:pPr>
        <w:pStyle w:val="ListParagraph"/>
        <w:numPr>
          <w:ilvl w:val="0"/>
          <w:numId w:val="2"/>
        </w:numPr>
        <w:spacing w:before="40" w:after="40"/>
      </w:pPr>
      <w:r>
        <w:rPr>
          <w:b/>
          <w:bCs/>
          <w:color w:val="1F3864"/>
        </w:rPr>
        <w:t xml:space="preserve">Component 1: </w:t>
      </w:r>
      <w:r>
        <w:t>€1.0 billion rights issue (June 2024) — pure equity, fully underwritten. Dilutive to existing shareholders (~13% of pre-issue market cap) but the cleanest form of deleveraging from a credit perspective.</w:t>
      </w:r>
    </w:p>
    <w:p w14:paraId="012838D1" w14:textId="77777777" w:rsidR="00D30E77" w:rsidRDefault="00000000">
      <w:pPr>
        <w:pStyle w:val="ListParagraph"/>
        <w:numPr>
          <w:ilvl w:val="0"/>
          <w:numId w:val="2"/>
        </w:numPr>
        <w:spacing w:before="40" w:after="40"/>
      </w:pPr>
      <w:r>
        <w:rPr>
          <w:b/>
          <w:bCs/>
          <w:color w:val="1F3864"/>
        </w:rPr>
        <w:t xml:space="preserve">Component 2: </w:t>
      </w:r>
      <w:r>
        <w:t>€750 million hybrid (subordinated perpetual) notes issuance (May 2024) — rated Baa3/Ba2 by Moody's. Treated as 50% equity by rating agencies under their hybrid methodology. Lower dilution than pure equity, ongoing coupon payments.</w:t>
      </w:r>
    </w:p>
    <w:p w14:paraId="7F185EF9" w14:textId="77777777" w:rsidR="00D30E77" w:rsidRDefault="00000000">
      <w:pPr>
        <w:pStyle w:val="ListParagraph"/>
        <w:numPr>
          <w:ilvl w:val="0"/>
          <w:numId w:val="2"/>
        </w:numPr>
        <w:spacing w:before="40" w:after="40"/>
      </w:pPr>
      <w:r>
        <w:rPr>
          <w:b/>
          <w:bCs/>
          <w:color w:val="1F3864"/>
        </w:rPr>
        <w:t xml:space="preserve">Component 3: </w:t>
      </w:r>
      <w:r>
        <w:t>~€600 million sale of US conventional signalling activities to Knorr-Bremse (closed September 2024) — divestiture of non-core asset at attractive multiple. Also reduces operational complexity.</w:t>
      </w:r>
    </w:p>
    <w:p w14:paraId="65006760"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D30E77" w14:paraId="2C73F4CF"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5B8AA8E9" w14:textId="77777777" w:rsidR="00D30E77" w:rsidRDefault="00000000">
            <w:pPr>
              <w:jc w:val="center"/>
            </w:pPr>
            <w:r>
              <w:rPr>
                <w:b/>
                <w:bCs/>
                <w:color w:val="FFFFFF"/>
                <w:sz w:val="19"/>
                <w:szCs w:val="19"/>
              </w:rPr>
              <w:t>WHY THIS MATTERS</w:t>
            </w:r>
          </w:p>
        </w:tc>
        <w:tc>
          <w:tcPr>
            <w:tcW w:w="80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20" w:type="dxa"/>
            </w:tcMar>
          </w:tcPr>
          <w:p w14:paraId="717EE715" w14:textId="77777777" w:rsidR="00D30E77" w:rsidRDefault="00000000">
            <w:r>
              <w:rPr>
                <w:color w:val="000000"/>
                <w:sz w:val="21"/>
                <w:szCs w:val="21"/>
              </w:rPr>
              <w:t xml:space="preserve">The mix of the three deleveraging actions was deliberately structured: pure equity (€1B) to maximise rating agency credit, hybrid (€750M) for partial equity treatment </w:t>
            </w:r>
            <w:r>
              <w:rPr>
                <w:color w:val="000000"/>
                <w:sz w:val="21"/>
                <w:szCs w:val="21"/>
              </w:rPr>
              <w:lastRenderedPageBreak/>
              <w:t>without full dilution, and asset sale (€600M) to demonstrate willingness to divest non-core operations. This €2.31B package successfully restored Moody's Baa3 stable rating in June 2024 — barely eight months after the credit crisis began.</w:t>
            </w:r>
          </w:p>
        </w:tc>
      </w:tr>
    </w:tbl>
    <w:p w14:paraId="77837D7E" w14:textId="77777777" w:rsidR="00D30E77" w:rsidRDefault="00D30E77">
      <w:pPr>
        <w:spacing w:before="80"/>
      </w:pPr>
    </w:p>
    <w:p w14:paraId="0A7231E1" w14:textId="77777777" w:rsidR="00D30E77" w:rsidRDefault="00000000">
      <w:pPr>
        <w:pStyle w:val="Heading2"/>
        <w:pBdr>
          <w:bottom w:val="single" w:sz="4" w:space="1" w:color="2E5FA3"/>
        </w:pBdr>
      </w:pPr>
      <w:r>
        <w:t>3.2 — Current Debt Structure (March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30E77" w14:paraId="4394464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59F035D1" w14:textId="77777777" w:rsidR="00D30E77" w:rsidRDefault="00000000">
            <w:r>
              <w:rPr>
                <w:b/>
                <w:bCs/>
                <w:color w:val="FFFFFF"/>
                <w:sz w:val="20"/>
                <w:szCs w:val="20"/>
              </w:rPr>
              <w:t>KPI / 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6F4D6BCA" w14:textId="77777777" w:rsidR="00D30E77" w:rsidRDefault="00000000">
            <w:r>
              <w:rPr>
                <w:b/>
                <w:bCs/>
                <w:color w:val="FFFFFF"/>
                <w:sz w:val="20"/>
                <w:szCs w:val="20"/>
              </w:rPr>
              <w:t>Value (FY2024/25)</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082D0E8F" w14:textId="77777777" w:rsidR="00D30E77" w:rsidRDefault="00000000">
            <w:r>
              <w:rPr>
                <w:b/>
                <w:bCs/>
                <w:color w:val="FFFFFF"/>
                <w:sz w:val="20"/>
                <w:szCs w:val="20"/>
              </w:rPr>
              <w:t>Commentary</w:t>
            </w:r>
          </w:p>
        </w:tc>
      </w:tr>
      <w:tr w:rsidR="00D30E77" w14:paraId="6B28FCB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A5848AA" w14:textId="77777777" w:rsidR="00D30E77" w:rsidRDefault="00000000">
            <w:r>
              <w:rPr>
                <w:b/>
                <w:bCs/>
                <w:sz w:val="20"/>
                <w:szCs w:val="20"/>
              </w:rPr>
              <w:t>Net Debt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7E870CF" w14:textId="77777777" w:rsidR="00D30E77" w:rsidRDefault="00000000">
            <w:pPr>
              <w:jc w:val="center"/>
            </w:pPr>
            <w:r>
              <w:rPr>
                <w:sz w:val="20"/>
                <w:szCs w:val="20"/>
              </w:rPr>
              <w:t>€434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B3C80E0" w14:textId="77777777" w:rsidR="00D30E77" w:rsidRDefault="00000000">
            <w:r>
              <w:rPr>
                <w:sz w:val="20"/>
                <w:szCs w:val="20"/>
              </w:rPr>
              <w:t>Cash, equivalents, marketable securities and other current financial assets, less borrowings.</w:t>
            </w:r>
          </w:p>
        </w:tc>
      </w:tr>
      <w:tr w:rsidR="00D30E77" w14:paraId="4CC453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751064" w14:textId="77777777" w:rsidR="00D30E77" w:rsidRDefault="00000000">
            <w:r>
              <w:rPr>
                <w:b/>
                <w:bCs/>
                <w:sz w:val="20"/>
                <w:szCs w:val="20"/>
              </w:rPr>
              <w:t>Hybrid Securities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02A07A" w14:textId="77777777" w:rsidR="00D30E77" w:rsidRDefault="00000000">
            <w:pPr>
              <w:jc w:val="center"/>
            </w:pPr>
            <w:r>
              <w:rPr>
                <w:sz w:val="20"/>
                <w:szCs w:val="20"/>
              </w:rPr>
              <w:t>€750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D31B1F" w14:textId="77777777" w:rsidR="00D30E77" w:rsidRDefault="00000000">
            <w:r>
              <w:rPr>
                <w:sz w:val="20"/>
                <w:szCs w:val="20"/>
              </w:rPr>
              <w:t>Subordinated perpetual notes. Treated as 50% equity by Moody's. Coupon payable but no maturity.</w:t>
            </w:r>
          </w:p>
        </w:tc>
      </w:tr>
      <w:tr w:rsidR="00D30E77" w14:paraId="0D4626B6"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2D54308" w14:textId="77777777" w:rsidR="00D30E77" w:rsidRDefault="00000000">
            <w:r>
              <w:rPr>
                <w:b/>
                <w:bCs/>
                <w:sz w:val="20"/>
                <w:szCs w:val="20"/>
              </w:rPr>
              <w:t>Total Liquidity</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6A7954C2" w14:textId="77777777" w:rsidR="00D30E77" w:rsidRDefault="00000000">
            <w:pPr>
              <w:jc w:val="center"/>
            </w:pPr>
            <w:r>
              <w:rPr>
                <w:sz w:val="20"/>
                <w:szCs w:val="20"/>
              </w:rPr>
              <w:t>€6.55 billion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BB581EC" w14:textId="77777777" w:rsidR="00D30E77" w:rsidRDefault="00000000">
            <w:r>
              <w:rPr>
                <w:sz w:val="20"/>
                <w:szCs w:val="20"/>
              </w:rPr>
              <w:t>€2.3B cash + €2.5B Liquidity RCF (matures July 2028) + €1.75B Backstop RCF (matures Jan 2029). Both RCFs undrawn.</w:t>
            </w:r>
          </w:p>
        </w:tc>
      </w:tr>
      <w:tr w:rsidR="00D30E77" w14:paraId="10BDD7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747BDC7" w14:textId="77777777" w:rsidR="00D30E77" w:rsidRDefault="00000000">
            <w:r>
              <w:rPr>
                <w:b/>
                <w:bCs/>
                <w:sz w:val="20"/>
                <w:szCs w:val="20"/>
              </w:rPr>
              <w:t>NEU CP Programme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4854D4" w14:textId="77777777" w:rsidR="00D30E77" w:rsidRDefault="00000000">
            <w:pPr>
              <w:jc w:val="center"/>
            </w:pPr>
            <w:r>
              <w:rPr>
                <w:sz w:val="20"/>
                <w:szCs w:val="20"/>
              </w:rPr>
              <w:t>€2.5 billion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FEB4B8A" w14:textId="77777777" w:rsidR="00D30E77" w:rsidRDefault="00000000">
            <w:r>
              <w:rPr>
                <w:sz w:val="20"/>
                <w:szCs w:val="20"/>
              </w:rPr>
              <w:t>Negotiable European Commercial Paper programme — short-term funding. Backed by Backstop RCF as per liquidity policy.</w:t>
            </w:r>
          </w:p>
        </w:tc>
      </w:tr>
      <w:tr w:rsidR="00D30E77" w14:paraId="6465F7F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DEE3474" w14:textId="77777777" w:rsidR="00D30E77" w:rsidRDefault="00000000">
            <w:r>
              <w:rPr>
                <w:b/>
                <w:bCs/>
                <w:sz w:val="20"/>
                <w:szCs w:val="20"/>
              </w:rPr>
              <w:t>Equity</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65F1FFC" w14:textId="77777777" w:rsidR="00D30E77" w:rsidRDefault="00000000">
            <w:pPr>
              <w:jc w:val="center"/>
            </w:pPr>
            <w:r>
              <w:rPr>
                <w:sz w:val="20"/>
                <w:szCs w:val="20"/>
              </w:rPr>
              <w:t>€10,577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A5AB1DB" w14:textId="77777777" w:rsidR="00D30E77" w:rsidRDefault="00000000">
            <w:r>
              <w:rPr>
                <w:sz w:val="20"/>
                <w:szCs w:val="20"/>
              </w:rPr>
              <w:t>Strong book equity. Net debt / equity = 4.1% — among lowest in European industrials.</w:t>
            </w:r>
          </w:p>
        </w:tc>
      </w:tr>
      <w:tr w:rsidR="00D30E77" w14:paraId="468017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6E5F381" w14:textId="77777777" w:rsidR="00D30E77" w:rsidRDefault="00000000">
            <w:r>
              <w:rPr>
                <w:b/>
                <w:bCs/>
                <w:sz w:val="20"/>
                <w:szCs w:val="20"/>
              </w:rPr>
              <w:t>Interest Coverage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EBB679E" w14:textId="77777777" w:rsidR="00D30E77" w:rsidRDefault="00000000">
            <w:pPr>
              <w:jc w:val="center"/>
            </w:pPr>
            <w:r>
              <w:rPr>
                <w:sz w:val="20"/>
                <w:szCs w:val="20"/>
              </w:rPr>
              <w:t>~6x est.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682E460" w14:textId="77777777" w:rsidR="00D30E77" w:rsidRDefault="00000000">
            <w:r>
              <w:rPr>
                <w:sz w:val="20"/>
                <w:szCs w:val="20"/>
              </w:rPr>
              <w:t>Adj. EBIT €1,177M / Net financial result €214M. Very comfortable for IG rating.</w:t>
            </w:r>
          </w:p>
        </w:tc>
      </w:tr>
      <w:tr w:rsidR="00D30E77" w14:paraId="3F0AA9C9"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B1C41FF" w14:textId="77777777" w:rsidR="00D30E77" w:rsidRDefault="00000000">
            <w:r>
              <w:rPr>
                <w:b/>
                <w:bCs/>
                <w:sz w:val="20"/>
                <w:szCs w:val="20"/>
              </w:rPr>
              <w:t>Net Debt / Adj. EBIT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61CA948" w14:textId="77777777" w:rsidR="00D30E77" w:rsidRDefault="00000000">
            <w:pPr>
              <w:jc w:val="center"/>
            </w:pPr>
            <w:r>
              <w:rPr>
                <w:sz w:val="20"/>
                <w:szCs w:val="20"/>
              </w:rPr>
              <w:t>~0.4x</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496FA3C" w14:textId="77777777" w:rsidR="00D30E77" w:rsidRDefault="00000000">
            <w:r>
              <w:rPr>
                <w:sz w:val="20"/>
                <w:szCs w:val="20"/>
              </w:rPr>
              <w:t>Extremely low leverage. Among the strongest credit metrics in European industrials sector.</w:t>
            </w:r>
          </w:p>
        </w:tc>
      </w:tr>
    </w:tbl>
    <w:p w14:paraId="172063A1"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D30E77" w14:paraId="3D6B1083"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509AE8A3" w14:textId="77777777" w:rsidR="00D30E77" w:rsidRDefault="00000000">
            <w:pPr>
              <w:jc w:val="center"/>
            </w:pPr>
            <w:r>
              <w:rPr>
                <w:b/>
                <w:bCs/>
                <w:color w:val="FFFFFF"/>
                <w:sz w:val="19"/>
                <w:szCs w:val="19"/>
              </w:rPr>
              <w:t>THE LIQUIDITY FORTRESS</w:t>
            </w:r>
          </w:p>
        </w:tc>
        <w:tc>
          <w:tcPr>
            <w:tcW w:w="8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61DB8430" w14:textId="77777777" w:rsidR="00D30E77" w:rsidRDefault="00000000">
            <w:r>
              <w:rPr>
                <w:color w:val="000000"/>
                <w:sz w:val="21"/>
                <w:szCs w:val="21"/>
              </w:rPr>
              <w:t>Total liquidity of €6.55 billion against current operating needs is genuinely extraordinary for an industrial company. The unused €4.25B of committed credit facilities create a strategic reserve that can absorb working capital shocks, counter-cyclical investment opportunities, or unforeseen integration costs. This liquidity buffer is the single most important credit support factor today.</w:t>
            </w:r>
          </w:p>
        </w:tc>
      </w:tr>
    </w:tbl>
    <w:p w14:paraId="4F653AB8"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D30E77" w14:paraId="62048A37"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00" w:type="dxa"/>
              <w:bottom w:w="100" w:type="dxa"/>
              <w:right w:w="100" w:type="dxa"/>
            </w:tcMar>
            <w:vAlign w:val="center"/>
          </w:tcPr>
          <w:p w14:paraId="798A8978" w14:textId="77777777" w:rsidR="00D30E77" w:rsidRDefault="00000000">
            <w:pPr>
              <w:jc w:val="center"/>
            </w:pPr>
            <w:r>
              <w:rPr>
                <w:b/>
                <w:bCs/>
                <w:color w:val="FFFFFF"/>
                <w:sz w:val="44"/>
                <w:szCs w:val="44"/>
              </w:rPr>
              <w:t>STEP 4</w:t>
            </w:r>
          </w:p>
        </w:tc>
        <w:tc>
          <w:tcPr>
            <w:tcW w:w="84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240" w:type="dxa"/>
              <w:bottom w:w="100" w:type="dxa"/>
              <w:right w:w="120" w:type="dxa"/>
            </w:tcMar>
          </w:tcPr>
          <w:p w14:paraId="52C8BE9F" w14:textId="77777777" w:rsidR="00D30E77" w:rsidRDefault="00000000">
            <w:pPr>
              <w:spacing w:after="40"/>
            </w:pPr>
            <w:r>
              <w:rPr>
                <w:b/>
                <w:bCs/>
                <w:color w:val="FFFFFF"/>
                <w:sz w:val="30"/>
                <w:szCs w:val="30"/>
              </w:rPr>
              <w:t>Liquidity &amp; Cash Flow</w:t>
            </w:r>
          </w:p>
          <w:p w14:paraId="7A45C787" w14:textId="77777777" w:rsidR="00D30E77" w:rsidRDefault="00000000">
            <w:r>
              <w:rPr>
                <w:i/>
                <w:iCs/>
                <w:color w:val="BDD7EE"/>
                <w:sz w:val="18"/>
                <w:szCs w:val="18"/>
              </w:rPr>
              <w:t>Can Alstom sustain its cash generation?</w:t>
            </w:r>
          </w:p>
        </w:tc>
      </w:tr>
    </w:tbl>
    <w:p w14:paraId="633749B4"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30E77" w14:paraId="29205B5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5B13638B" w14:textId="77777777" w:rsidR="00D30E77" w:rsidRDefault="00000000">
            <w:r>
              <w:rPr>
                <w:b/>
                <w:bCs/>
                <w:color w:val="FFFFFF"/>
                <w:sz w:val="20"/>
                <w:szCs w:val="20"/>
              </w:rPr>
              <w:t>KPI / 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11DEAD95" w14:textId="77777777" w:rsidR="00D30E77" w:rsidRDefault="00000000">
            <w:r>
              <w:rPr>
                <w:b/>
                <w:bCs/>
                <w:color w:val="FFFFFF"/>
                <w:sz w:val="20"/>
                <w:szCs w:val="20"/>
              </w:rPr>
              <w:t>Value (FY2024/25)</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26B5D7B1" w14:textId="77777777" w:rsidR="00D30E77" w:rsidRDefault="00000000">
            <w:r>
              <w:rPr>
                <w:b/>
                <w:bCs/>
                <w:color w:val="FFFFFF"/>
                <w:sz w:val="20"/>
                <w:szCs w:val="20"/>
              </w:rPr>
              <w:t>Commentary</w:t>
            </w:r>
          </w:p>
        </w:tc>
      </w:tr>
      <w:tr w:rsidR="00D30E77" w14:paraId="217F9EA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95E1C95" w14:textId="77777777" w:rsidR="00D30E77" w:rsidRDefault="00000000">
            <w:r>
              <w:rPr>
                <w:b/>
                <w:bCs/>
                <w:sz w:val="20"/>
                <w:szCs w:val="20"/>
              </w:rPr>
              <w:t>Free Cash Flow (FY24/25)</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A7B6E80" w14:textId="77777777" w:rsidR="00D30E77" w:rsidRDefault="00000000">
            <w:pPr>
              <w:jc w:val="center"/>
            </w:pPr>
            <w:r>
              <w:rPr>
                <w:sz w:val="20"/>
                <w:szCs w:val="20"/>
              </w:rPr>
              <w:t>€502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C4AED55" w14:textId="77777777" w:rsidR="00D30E77" w:rsidRDefault="00000000">
            <w:r>
              <w:rPr>
                <w:sz w:val="20"/>
                <w:szCs w:val="20"/>
              </w:rPr>
              <w:t>+€502M improvement from FY23/24 (when FCF was −€557M). A €1.06B swing in twelve months.</w:t>
            </w:r>
          </w:p>
        </w:tc>
      </w:tr>
      <w:tr w:rsidR="00D30E77" w14:paraId="0505FB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F59501" w14:textId="77777777" w:rsidR="00D30E77" w:rsidRDefault="00000000">
            <w:r>
              <w:rPr>
                <w:b/>
                <w:bCs/>
                <w:sz w:val="20"/>
                <w:szCs w:val="20"/>
              </w:rPr>
              <w:t>FCF Conversion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3620D45" w14:textId="77777777" w:rsidR="00D30E77" w:rsidRDefault="00000000">
            <w:pPr>
              <w:jc w:val="center"/>
            </w:pPr>
            <w:r>
              <w:rPr>
                <w:sz w:val="20"/>
                <w:szCs w:val="20"/>
              </w:rPr>
              <w:t>~100% target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3A3FBF7" w14:textId="77777777" w:rsidR="00D30E77" w:rsidRDefault="00000000">
            <w:r>
              <w:rPr>
                <w:sz w:val="20"/>
                <w:szCs w:val="20"/>
              </w:rPr>
              <w:t>Alstom targets FCF conversion of 100% of adjusted net income over the cycle. FY24/25 conversion was strong but with WC volatility.</w:t>
            </w:r>
          </w:p>
        </w:tc>
      </w:tr>
      <w:tr w:rsidR="00D30E77" w14:paraId="67D6DD3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1992BAE" w14:textId="77777777" w:rsidR="00D30E77" w:rsidRDefault="00000000">
            <w:r>
              <w:rPr>
                <w:b/>
                <w:bCs/>
                <w:sz w:val="20"/>
                <w:szCs w:val="20"/>
              </w:rPr>
              <w:lastRenderedPageBreak/>
              <w:t>Funds from Operations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C2D8DFF" w14:textId="77777777" w:rsidR="00D30E77" w:rsidRDefault="00000000">
            <w:pPr>
              <w:jc w:val="center"/>
            </w:pPr>
            <w:r>
              <w:rPr>
                <w:sz w:val="20"/>
                <w:szCs w:val="20"/>
              </w:rPr>
              <w:t>€553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AAD5D07" w14:textId="77777777" w:rsidR="00D30E77" w:rsidRDefault="00000000">
            <w:r>
              <w:rPr>
                <w:sz w:val="20"/>
                <w:szCs w:val="20"/>
              </w:rPr>
              <w:t>Up from €299M. Underlying cash generation before working capital movements.</w:t>
            </w:r>
          </w:p>
        </w:tc>
      </w:tr>
      <w:tr w:rsidR="00D30E77" w14:paraId="703919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F24534" w14:textId="77777777" w:rsidR="00D30E77" w:rsidRDefault="00000000">
            <w:r>
              <w:rPr>
                <w:b/>
                <w:bCs/>
                <w:sz w:val="20"/>
                <w:szCs w:val="20"/>
              </w:rPr>
              <w:t>Working Capital Change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559FC7" w14:textId="77777777" w:rsidR="00D30E77" w:rsidRDefault="00000000">
            <w:pPr>
              <w:jc w:val="center"/>
            </w:pPr>
            <w:r>
              <w:rPr>
                <w:sz w:val="20"/>
                <w:szCs w:val="20"/>
              </w:rPr>
              <w:t>€(51)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CDF5E80" w14:textId="77777777" w:rsidR="00D30E77" w:rsidRDefault="00000000">
            <w:r>
              <w:rPr>
                <w:sz w:val="20"/>
                <w:szCs w:val="20"/>
              </w:rPr>
              <w:t>Vs €(856)M in FY23/24. Massive improvement. Contract Working Capital change was €(110)M, offset by trade WC improvement.</w:t>
            </w:r>
          </w:p>
        </w:tc>
      </w:tr>
      <w:tr w:rsidR="00D30E77" w14:paraId="2E87342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99D14D7" w14:textId="77777777" w:rsidR="00D30E77" w:rsidRDefault="00000000">
            <w:r>
              <w:rPr>
                <w:b/>
                <w:bCs/>
                <w:sz w:val="20"/>
                <w:szCs w:val="20"/>
              </w:rPr>
              <w:t>Capex (excl. R&amp;D)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A356A52" w14:textId="77777777" w:rsidR="00D30E77" w:rsidRDefault="00000000">
            <w:pPr>
              <w:jc w:val="center"/>
            </w:pPr>
            <w:r>
              <w:rPr>
                <w:sz w:val="20"/>
                <w:szCs w:val="20"/>
              </w:rPr>
              <w:t>€294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6E3CD368" w14:textId="77777777" w:rsidR="00D30E77" w:rsidRDefault="00000000">
            <w:r>
              <w:rPr>
                <w:sz w:val="20"/>
                <w:szCs w:val="20"/>
              </w:rPr>
              <w:t>1.6% of sales. Low capital intensity reflects industrial scale and recent investment cycle completion.</w:t>
            </w:r>
          </w:p>
        </w:tc>
      </w:tr>
      <w:tr w:rsidR="00D30E77" w14:paraId="38EF87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3E8308F" w14:textId="77777777" w:rsidR="00D30E77" w:rsidRDefault="00000000">
            <w:r>
              <w:rPr>
                <w:b/>
                <w:bCs/>
                <w:sz w:val="20"/>
                <w:szCs w:val="20"/>
              </w:rPr>
              <w:t>JV Dividends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9B8B81" w14:textId="77777777" w:rsidR="00D30E77" w:rsidRDefault="00000000">
            <w:pPr>
              <w:jc w:val="center"/>
            </w:pPr>
            <w:r>
              <w:rPr>
                <w:sz w:val="20"/>
                <w:szCs w:val="20"/>
              </w:rPr>
              <w:t>€156 million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343BE7C" w14:textId="77777777" w:rsidR="00D30E77" w:rsidRDefault="00000000">
            <w:r>
              <w:rPr>
                <w:sz w:val="20"/>
                <w:szCs w:val="20"/>
              </w:rPr>
              <w:t>Down from €310M (lower in current year). Joint venture income an important cash flow contributor.</w:t>
            </w:r>
          </w:p>
        </w:tc>
      </w:tr>
      <w:tr w:rsidR="00D30E77" w14:paraId="14667FB1"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81E7AB6" w14:textId="77777777" w:rsidR="00D30E77" w:rsidRDefault="00000000">
            <w:r>
              <w:rPr>
                <w:b/>
                <w:bCs/>
                <w:sz w:val="20"/>
                <w:szCs w:val="20"/>
              </w:rPr>
              <w:t>Tax &amp; Financial Cash Out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4566D8A" w14:textId="77777777" w:rsidR="00D30E77" w:rsidRDefault="00000000">
            <w:pPr>
              <w:jc w:val="center"/>
            </w:pPr>
            <w:r>
              <w:rPr>
                <w:sz w:val="20"/>
                <w:szCs w:val="20"/>
              </w:rPr>
              <w:t>€(356) million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2B4FD4F" w14:textId="77777777" w:rsidR="00D30E77" w:rsidRDefault="00000000">
            <w:r>
              <w:rPr>
                <w:sz w:val="20"/>
                <w:szCs w:val="20"/>
              </w:rPr>
              <w:t>Down from €(428)M as net debt reduction lowered interest expense.</w:t>
            </w:r>
          </w:p>
        </w:tc>
      </w:tr>
      <w:tr w:rsidR="00D30E77" w14:paraId="075BF0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B3D616C" w14:textId="77777777" w:rsidR="00D30E77" w:rsidRDefault="00000000">
            <w:r>
              <w:rPr>
                <w:b/>
                <w:bCs/>
                <w:sz w:val="20"/>
                <w:szCs w:val="20"/>
              </w:rPr>
              <w:t>FCF Target (FY24/25-FY26/27)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CCF47F2" w14:textId="77777777" w:rsidR="00D30E77" w:rsidRDefault="00000000">
            <w:pPr>
              <w:jc w:val="center"/>
            </w:pPr>
            <w:r>
              <w:rPr>
                <w:sz w:val="20"/>
                <w:szCs w:val="20"/>
              </w:rPr>
              <w:t>€1.5 billion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707F557" w14:textId="77777777" w:rsidR="00D30E77" w:rsidRDefault="00000000">
            <w:r>
              <w:rPr>
                <w:sz w:val="20"/>
                <w:szCs w:val="20"/>
              </w:rPr>
              <w:t>Cumulative three-year FCF target. FY24/25 contributed €502M, leaving €1B to deliver in FY25/26 and FY26/27.</w:t>
            </w:r>
          </w:p>
        </w:tc>
      </w:tr>
    </w:tbl>
    <w:p w14:paraId="6D15470A" w14:textId="77777777" w:rsidR="00D30E77" w:rsidRDefault="00D30E77">
      <w:pPr>
        <w:spacing w:before="60"/>
      </w:pPr>
    </w:p>
    <w:p w14:paraId="6453316F" w14:textId="77777777" w:rsidR="00D30E77" w:rsidRDefault="00000000">
      <w:pPr>
        <w:pStyle w:val="Heading2"/>
        <w:pBdr>
          <w:bottom w:val="single" w:sz="4" w:space="1" w:color="2E5FA3"/>
        </w:pBdr>
      </w:pPr>
      <w:r>
        <w:t>4.1 — Working Capital Dynamics in Long-Cycle Contracting</w:t>
      </w:r>
    </w:p>
    <w:p w14:paraId="669C5141" w14:textId="77777777" w:rsidR="00D30E77" w:rsidRDefault="00000000">
      <w:pPr>
        <w:spacing w:before="60" w:after="80"/>
      </w:pPr>
      <w:r>
        <w:t>Working capital management is the most operationally complex aspect of Alstom's credit profile. Rail equipment contracts run 5-15 years and have lumpy cash flow patterns: large downpayments at signing, intermediate progress payments as milestones are achieved, and retentions held back for warranty periods. The cash flow profile of any given quarter depends on the phase of execution of multiple large contracts running simultaneously.</w:t>
      </w:r>
    </w:p>
    <w:p w14:paraId="15E613F7" w14:textId="77777777" w:rsidR="00D30E77" w:rsidRDefault="00000000">
      <w:pPr>
        <w:pStyle w:val="ListParagraph"/>
        <w:numPr>
          <w:ilvl w:val="0"/>
          <w:numId w:val="2"/>
        </w:numPr>
        <w:spacing w:before="40" w:after="40"/>
      </w:pPr>
      <w:r>
        <w:rPr>
          <w:b/>
          <w:bCs/>
          <w:color w:val="1F3864"/>
        </w:rPr>
        <w:t xml:space="preserve">Cash inflow: </w:t>
      </w:r>
      <w:r>
        <w:t>Downpayments received on new orders provide upfront cash. The record €19.8B order intake in FY24/25 (and €20B in the first 9 months of FY25/26) generated substantial downpayment inflows.</w:t>
      </w:r>
    </w:p>
    <w:p w14:paraId="3698AD0B" w14:textId="77777777" w:rsidR="00D30E77" w:rsidRDefault="00000000">
      <w:pPr>
        <w:pStyle w:val="ListParagraph"/>
        <w:numPr>
          <w:ilvl w:val="0"/>
          <w:numId w:val="2"/>
        </w:numPr>
        <w:spacing w:before="40" w:after="40"/>
      </w:pPr>
      <w:r>
        <w:rPr>
          <w:b/>
          <w:bCs/>
          <w:color w:val="1F3864"/>
        </w:rPr>
        <w:t xml:space="preserve">Cash outflow: </w:t>
      </w:r>
      <w:r>
        <w:t>Cash outflow accelerates during the production ramp-up of contracts — when capex and component purchases are highest but revenue recognition (and milestone payments) lag.</w:t>
      </w:r>
    </w:p>
    <w:p w14:paraId="1A334F52" w14:textId="77777777" w:rsidR="00D30E77" w:rsidRDefault="00000000">
      <w:pPr>
        <w:pStyle w:val="ListParagraph"/>
        <w:numPr>
          <w:ilvl w:val="0"/>
          <w:numId w:val="2"/>
        </w:numPr>
        <w:spacing w:before="40" w:after="40"/>
      </w:pPr>
      <w:r>
        <w:rPr>
          <w:b/>
          <w:bCs/>
          <w:color w:val="1F3864"/>
        </w:rPr>
        <w:t xml:space="preserve">Cash inflow: </w:t>
      </w:r>
      <w:r>
        <w:t>Cash inflow accelerates during late-stage execution and delivery — when revenue recognition and customer payments catch up with prior spending.</w:t>
      </w:r>
    </w:p>
    <w:p w14:paraId="3D76CBD7" w14:textId="77777777" w:rsidR="00D30E77" w:rsidRDefault="00000000">
      <w:pPr>
        <w:pStyle w:val="ListParagraph"/>
        <w:numPr>
          <w:ilvl w:val="0"/>
          <w:numId w:val="2"/>
        </w:numPr>
        <w:spacing w:before="40" w:after="40"/>
      </w:pPr>
      <w:r>
        <w:rPr>
          <w:b/>
          <w:bCs/>
          <w:color w:val="1F3864"/>
        </w:rPr>
        <w:t xml:space="preserve">Note: </w:t>
      </w:r>
      <w:r>
        <w:t>Working capital is structurally cyclical. Alstom guided FY25/26 to be a year of WC headwind (downpayments offsetting only partially the ramp-up of large new contracts). Hence the lower FCF guidance of €200-400M for FY25/26 vs €502M in FY24/25.</w:t>
      </w:r>
    </w:p>
    <w:p w14:paraId="1176C2C9"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8000"/>
      </w:tblGrid>
      <w:tr w:rsidR="00D30E77" w14:paraId="20DB2A02"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141B5E08" w14:textId="77777777" w:rsidR="00D30E77" w:rsidRDefault="00000000">
            <w:pPr>
              <w:jc w:val="center"/>
            </w:pPr>
            <w:r>
              <w:rPr>
                <w:b/>
                <w:bCs/>
                <w:color w:val="FFFFFF"/>
                <w:sz w:val="19"/>
                <w:szCs w:val="19"/>
              </w:rPr>
              <w:t>THE EXECUTION RISK</w:t>
            </w:r>
          </w:p>
        </w:tc>
        <w:tc>
          <w:tcPr>
            <w:tcW w:w="80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20" w:type="dxa"/>
            </w:tcMar>
          </w:tcPr>
          <w:p w14:paraId="78F3178B" w14:textId="77777777" w:rsidR="00D30E77" w:rsidRDefault="00000000">
            <w:r>
              <w:rPr>
                <w:color w:val="000000"/>
                <w:sz w:val="21"/>
                <w:szCs w:val="21"/>
              </w:rPr>
              <w:t>If Rolling Stock projects continue to face supply chain delays (60-70% of project delays per management), working capital tied up in unfinished trains could absorb hundreds of millions of additional cash. The €1.5B three-year FCF target therefore depends critically on Alstom's ability to deliver projects to schedule. This is the central operational risk to the credit thesis.</w:t>
            </w:r>
          </w:p>
        </w:tc>
      </w:tr>
    </w:tbl>
    <w:p w14:paraId="12E7419B" w14:textId="77777777" w:rsidR="00D30E77" w:rsidRDefault="00D30E77">
      <w:pPr>
        <w:spacing w:before="80"/>
      </w:pPr>
    </w:p>
    <w:p w14:paraId="4CCC9799" w14:textId="77777777" w:rsidR="00D30E7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D30E77" w14:paraId="223857E5"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00" w:type="dxa"/>
              <w:bottom w:w="100" w:type="dxa"/>
              <w:right w:w="100" w:type="dxa"/>
            </w:tcMar>
            <w:vAlign w:val="center"/>
          </w:tcPr>
          <w:p w14:paraId="5FE09C93" w14:textId="77777777" w:rsidR="00D30E77" w:rsidRDefault="00000000">
            <w:pPr>
              <w:jc w:val="center"/>
            </w:pPr>
            <w:r>
              <w:rPr>
                <w:b/>
                <w:bCs/>
                <w:color w:val="FFFFFF"/>
                <w:sz w:val="44"/>
                <w:szCs w:val="44"/>
              </w:rPr>
              <w:lastRenderedPageBreak/>
              <w:t>STEP 5</w:t>
            </w:r>
          </w:p>
        </w:tc>
        <w:tc>
          <w:tcPr>
            <w:tcW w:w="84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240" w:type="dxa"/>
              <w:bottom w:w="100" w:type="dxa"/>
              <w:right w:w="120" w:type="dxa"/>
            </w:tcMar>
          </w:tcPr>
          <w:p w14:paraId="46E3A4FE" w14:textId="77777777" w:rsidR="00D30E77" w:rsidRDefault="00000000">
            <w:pPr>
              <w:spacing w:after="40"/>
            </w:pPr>
            <w:r>
              <w:rPr>
                <w:b/>
                <w:bCs/>
                <w:color w:val="FFFFFF"/>
                <w:sz w:val="30"/>
                <w:szCs w:val="30"/>
              </w:rPr>
              <w:t>Management &amp; Governance</w:t>
            </w:r>
          </w:p>
          <w:p w14:paraId="263D8C33" w14:textId="77777777" w:rsidR="00D30E77" w:rsidRDefault="00000000">
            <w:r>
              <w:rPr>
                <w:i/>
                <w:iCs/>
                <w:color w:val="BDD7EE"/>
                <w:sz w:val="18"/>
                <w:szCs w:val="18"/>
              </w:rPr>
              <w:t>Who runs Alstom and can they be trusted?</w:t>
            </w:r>
          </w:p>
        </w:tc>
      </w:tr>
    </w:tbl>
    <w:p w14:paraId="6690BE16"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30E77" w14:paraId="629A061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59D94049" w14:textId="77777777" w:rsidR="00D30E77" w:rsidRDefault="00000000">
            <w:r>
              <w:rPr>
                <w:b/>
                <w:bCs/>
                <w:color w:val="FFFFFF"/>
                <w:sz w:val="20"/>
                <w:szCs w:val="20"/>
              </w:rPr>
              <w:t>KPI / 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7E8418BE" w14:textId="2D1D3059" w:rsidR="00D30E77" w:rsidRDefault="00000000">
            <w:r>
              <w:rPr>
                <w:b/>
                <w:bCs/>
                <w:color w:val="FFFFFF"/>
                <w:sz w:val="20"/>
                <w:szCs w:val="20"/>
              </w:rPr>
              <w:t xml:space="preserve">Value </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2CB62444" w14:textId="77777777" w:rsidR="00D30E77" w:rsidRDefault="00000000">
            <w:r>
              <w:rPr>
                <w:b/>
                <w:bCs/>
                <w:color w:val="FFFFFF"/>
                <w:sz w:val="20"/>
                <w:szCs w:val="20"/>
              </w:rPr>
              <w:t>Commentary</w:t>
            </w:r>
          </w:p>
        </w:tc>
      </w:tr>
      <w:tr w:rsidR="00D30E77" w14:paraId="507EE8E3"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9E97654" w14:textId="77777777" w:rsidR="00D30E77" w:rsidRDefault="00000000">
            <w:r>
              <w:rPr>
                <w:b/>
                <w:bCs/>
                <w:sz w:val="20"/>
                <w:szCs w:val="20"/>
              </w:rPr>
              <w:t>CEO</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C6D4EA8" w14:textId="77777777" w:rsidR="00D30E77" w:rsidRDefault="00000000">
            <w:pPr>
              <w:jc w:val="center"/>
            </w:pPr>
            <w:r>
              <w:rPr>
                <w:sz w:val="20"/>
                <w:szCs w:val="20"/>
              </w:rPr>
              <w:t>Martin Sion (since April 2026)</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86F4A37" w14:textId="77777777" w:rsidR="00D30E77" w:rsidRDefault="00000000">
            <w:r>
              <w:rPr>
                <w:sz w:val="20"/>
                <w:szCs w:val="20"/>
              </w:rPr>
              <w:t>New CEO since 1 April 2026, succeeding Henri Poupart-Lafarge (CEO 2016–2026). Sion arrives from ArianeGroup (aerospace) where he was CEO. His mandate: convert the €100B+ backlog into smooth industrial execution and fix delivery bottlenecks. Poupart-Lafarge led both the Bombardier acquisition and the subsequent turnaround.</w:t>
            </w:r>
          </w:p>
        </w:tc>
      </w:tr>
      <w:tr w:rsidR="00D30E77" w14:paraId="67C39F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FB91C31" w14:textId="77777777" w:rsidR="00D30E77" w:rsidRDefault="00000000">
            <w:r>
              <w:rPr>
                <w:b/>
                <w:bCs/>
                <w:sz w:val="20"/>
                <w:szCs w:val="20"/>
              </w:rPr>
              <w:t>Ownership 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2A0851F" w14:textId="2CD03E85" w:rsidR="00D30E77" w:rsidRDefault="0066456C">
            <w:pPr>
              <w:jc w:val="center"/>
              <w:rPr>
                <w:sz w:val="20"/>
                <w:szCs w:val="20"/>
              </w:rPr>
            </w:pPr>
            <w:r>
              <w:rPr>
                <w:sz w:val="20"/>
                <w:szCs w:val="20"/>
              </w:rPr>
              <w:t>Public</w:t>
            </w:r>
            <w:r w:rsidR="00000000">
              <w:rPr>
                <w:sz w:val="20"/>
                <w:szCs w:val="20"/>
              </w:rPr>
              <w:t xml:space="preserve"> ~</w:t>
            </w:r>
            <w:r>
              <w:rPr>
                <w:sz w:val="20"/>
                <w:szCs w:val="20"/>
              </w:rPr>
              <w:t>58</w:t>
            </w:r>
            <w:r w:rsidR="00000000">
              <w:rPr>
                <w:sz w:val="20"/>
                <w:szCs w:val="20"/>
              </w:rPr>
              <w:t xml:space="preserve">%, </w:t>
            </w:r>
            <w:r>
              <w:rPr>
                <w:sz w:val="20"/>
                <w:szCs w:val="20"/>
              </w:rPr>
              <w:t>CDPQ</w:t>
            </w:r>
            <w:r w:rsidR="00000000">
              <w:rPr>
                <w:sz w:val="20"/>
                <w:szCs w:val="20"/>
              </w:rPr>
              <w:t xml:space="preserve"> ~</w:t>
            </w:r>
            <w:r>
              <w:rPr>
                <w:sz w:val="20"/>
                <w:szCs w:val="20"/>
              </w:rPr>
              <w:t>18</w:t>
            </w:r>
            <w:r w:rsidR="00000000">
              <w:rPr>
                <w:sz w:val="20"/>
                <w:szCs w:val="20"/>
              </w:rPr>
              <w:t>%</w:t>
            </w:r>
          </w:p>
          <w:p w14:paraId="6B7B4177" w14:textId="79C58B72" w:rsidR="0066456C" w:rsidRDefault="0066456C">
            <w:pPr>
              <w:jc w:val="center"/>
            </w:pPr>
            <w:r w:rsidRPr="0066456C">
              <w:rPr>
                <w:sz w:val="20"/>
                <w:szCs w:val="20"/>
              </w:rPr>
              <w:t>Causeway Capital</w:t>
            </w:r>
            <w:r>
              <w:t xml:space="preserve"> </w:t>
            </w:r>
            <w:r>
              <w:rPr>
                <w:sz w:val="20"/>
                <w:szCs w:val="20"/>
              </w:rPr>
              <w:t>~1</w:t>
            </w:r>
            <w:r>
              <w:rPr>
                <w:sz w:val="20"/>
                <w:szCs w:val="20"/>
              </w:rPr>
              <w:t>0</w:t>
            </w:r>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28B5EE0" w14:textId="64B8F9CB" w:rsidR="00D30E77" w:rsidRDefault="00000000">
            <w:r>
              <w:rPr>
                <w:sz w:val="20"/>
                <w:szCs w:val="20"/>
              </w:rPr>
              <w:t xml:space="preserve">Listed on Euronext Paris. No controlling shareholder. </w:t>
            </w:r>
            <w:r w:rsidR="0066456C">
              <w:rPr>
                <w:sz w:val="20"/>
                <w:szCs w:val="20"/>
              </w:rPr>
              <w:t>CDPQ entered the capital of Alstrom following the acquisition of Bombardier. France Public Investment bank (BPI) also owns 7.5% of the capital.</w:t>
            </w:r>
          </w:p>
        </w:tc>
      </w:tr>
      <w:tr w:rsidR="00D30E77" w14:paraId="79FA8363" w14:textId="77777777" w:rsidTr="0066456C">
        <w:trPr>
          <w:trHeight w:val="850"/>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6D463A3" w14:textId="77777777" w:rsidR="00D30E77" w:rsidRDefault="00000000">
            <w:r>
              <w:rPr>
                <w:b/>
                <w:bCs/>
                <w:sz w:val="20"/>
                <w:szCs w:val="20"/>
              </w:rPr>
              <w:t>Board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CFF4AB8" w14:textId="77777777" w:rsidR="00D30E77" w:rsidRDefault="00000000">
            <w:pPr>
              <w:jc w:val="center"/>
            </w:pPr>
            <w:r>
              <w:rPr>
                <w:sz w:val="20"/>
                <w:szCs w:val="20"/>
              </w:rPr>
              <w:t>Independent majority</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8E23AE7" w14:textId="77777777" w:rsidR="00D30E77" w:rsidRDefault="00000000">
            <w:r>
              <w:rPr>
                <w:sz w:val="20"/>
                <w:szCs w:val="20"/>
              </w:rPr>
              <w:t>French governance standard. Chairman separate from CEO. Audit, Compensation, and Nominations committees all independent-chaired.</w:t>
            </w:r>
          </w:p>
        </w:tc>
      </w:tr>
      <w:tr w:rsidR="00D30E77" w14:paraId="076ABB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8F5425" w14:textId="77777777" w:rsidR="00D30E77" w:rsidRDefault="00000000">
            <w:r>
              <w:rPr>
                <w:b/>
                <w:bCs/>
                <w:sz w:val="20"/>
                <w:szCs w:val="20"/>
              </w:rPr>
              <w:t>Auditor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9BC791" w14:textId="77777777" w:rsidR="00D30E77" w:rsidRDefault="00000000">
            <w:pPr>
              <w:jc w:val="center"/>
            </w:pPr>
            <w:r>
              <w:rPr>
                <w:sz w:val="20"/>
                <w:szCs w:val="20"/>
              </w:rPr>
              <w:t>PwC and Mazars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43BB05" w14:textId="77777777" w:rsidR="00D30E77" w:rsidRDefault="00000000">
            <w:r>
              <w:rPr>
                <w:sz w:val="20"/>
                <w:szCs w:val="20"/>
              </w:rPr>
              <w:t>Joint audit per French legal requirement. No qualified opinions in recent years. Highest standard of audit quality.</w:t>
            </w:r>
          </w:p>
        </w:tc>
      </w:tr>
      <w:tr w:rsidR="00D30E77" w14:paraId="52D1DB0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4AC0ED7" w14:textId="77777777" w:rsidR="00D30E77" w:rsidRDefault="00000000">
            <w:r>
              <w:rPr>
                <w:b/>
                <w:bCs/>
                <w:sz w:val="20"/>
                <w:szCs w:val="20"/>
              </w:rPr>
              <w:t>Investor Relations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7C2064C" w14:textId="77777777" w:rsidR="00D30E77" w:rsidRDefault="00000000">
            <w:pPr>
              <w:jc w:val="center"/>
            </w:pPr>
            <w:r>
              <w:rPr>
                <w:sz w:val="20"/>
                <w:szCs w:val="20"/>
              </w:rPr>
              <w:t>Mature institution</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69789AA7" w14:textId="77777777" w:rsidR="00D30E77" w:rsidRDefault="00000000">
            <w:r>
              <w:rPr>
                <w:sz w:val="20"/>
                <w:szCs w:val="20"/>
              </w:rPr>
              <w:t>Detailed quarterly reporting, conference calls, capital markets days. Transparency is high — even during 2023 crisis, communication was direct and frequent.</w:t>
            </w:r>
          </w:p>
        </w:tc>
      </w:tr>
    </w:tbl>
    <w:p w14:paraId="57CD4827" w14:textId="77777777" w:rsidR="00D30E77" w:rsidRDefault="00D30E77">
      <w:pPr>
        <w:spacing w:before="60"/>
      </w:pPr>
    </w:p>
    <w:p w14:paraId="7955F67A" w14:textId="77777777" w:rsidR="00D30E77" w:rsidRDefault="00000000">
      <w:pPr>
        <w:spacing w:before="60" w:after="80"/>
      </w:pPr>
      <w:r>
        <w:t>Henri Poupart-Lafarge's credibility was tested by the October 2023 credit crisis. His announcement of unexpectedly weak cash flow drove the share price down ~38% in a single day — one of the worst single-day stock moves in CAC 40 history outside of macro events. The subsequent turnaround execution (€2.56B net debt reduction in twelve months, rating outlook restored by Moody's) rebuilt management credibility before his departure. Martin Sion inherits a balance sheet that has been fully repaired but an operational challenge that has not: converting the €100B+ backlog into delivered trains on time. His aerospace background at ArianeGroup is directly relevant — long-cycle, complex-supply-chain manufacturing under high public-sector scrutiny is a credible fit for Alstom's current bottleneck. For credit purposes, the CEO transition is a watch item rather than a concern: the financial credibility built under Poupart-Lafarge is structural, but Sion's operational execution over the next 12-18 months will define the next chapter of the credit story.</w:t>
      </w:r>
    </w:p>
    <w:p w14:paraId="71DD9F40"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7838"/>
      </w:tblGrid>
      <w:tr w:rsidR="00D30E77" w14:paraId="0224A86C"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5E3360E5" w14:textId="77777777" w:rsidR="00D30E77" w:rsidRDefault="00000000">
            <w:pPr>
              <w:jc w:val="center"/>
            </w:pPr>
            <w:r>
              <w:rPr>
                <w:b/>
                <w:bCs/>
                <w:color w:val="FFFFFF"/>
                <w:sz w:val="19"/>
                <w:szCs w:val="19"/>
              </w:rPr>
              <w:t>GOVERNANCE STRENGTH</w:t>
            </w:r>
          </w:p>
        </w:tc>
        <w:tc>
          <w:tcPr>
            <w:tcW w:w="8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74191AC3" w14:textId="32D99CCA" w:rsidR="00D30E77" w:rsidRDefault="00000000">
            <w:r>
              <w:rPr>
                <w:color w:val="000000"/>
                <w:sz w:val="21"/>
                <w:szCs w:val="21"/>
              </w:rPr>
              <w:t>Alstom benefits from the French dual-audit requirement (two big-4 firms audit the same financial statements). Combined with no controlling shareholder and full free float, governance and transparency standards exceed those of any controlled company in this series. Information risk is structurally low.</w:t>
            </w:r>
          </w:p>
        </w:tc>
      </w:tr>
    </w:tbl>
    <w:p w14:paraId="535DFB32"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8010"/>
      </w:tblGrid>
      <w:tr w:rsidR="00D30E77" w14:paraId="2BDA38E6" w14:textId="77777777">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00" w:type="dxa"/>
              <w:bottom w:w="100" w:type="dxa"/>
              <w:right w:w="100" w:type="dxa"/>
            </w:tcMar>
            <w:vAlign w:val="center"/>
          </w:tcPr>
          <w:p w14:paraId="577A7D57" w14:textId="77777777" w:rsidR="00D30E77" w:rsidRDefault="00000000">
            <w:pPr>
              <w:jc w:val="center"/>
            </w:pPr>
            <w:r>
              <w:rPr>
                <w:b/>
                <w:bCs/>
                <w:color w:val="FFFFFF"/>
                <w:sz w:val="44"/>
                <w:szCs w:val="44"/>
              </w:rPr>
              <w:lastRenderedPageBreak/>
              <w:t>STEP 6</w:t>
            </w:r>
          </w:p>
        </w:tc>
        <w:tc>
          <w:tcPr>
            <w:tcW w:w="84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240" w:type="dxa"/>
              <w:bottom w:w="100" w:type="dxa"/>
              <w:right w:w="120" w:type="dxa"/>
            </w:tcMar>
          </w:tcPr>
          <w:p w14:paraId="11274AB9" w14:textId="77777777" w:rsidR="00D30E77" w:rsidRDefault="00000000">
            <w:pPr>
              <w:spacing w:after="40"/>
            </w:pPr>
            <w:r>
              <w:rPr>
                <w:b/>
                <w:bCs/>
                <w:color w:val="FFFFFF"/>
                <w:sz w:val="30"/>
                <w:szCs w:val="30"/>
              </w:rPr>
              <w:t>Macroeconomic &amp; Sector Context</w:t>
            </w:r>
          </w:p>
          <w:p w14:paraId="2B6A6610" w14:textId="77777777" w:rsidR="00D30E77" w:rsidRDefault="00000000">
            <w:r>
              <w:rPr>
                <w:i/>
                <w:iCs/>
                <w:color w:val="BDD7EE"/>
                <w:sz w:val="18"/>
                <w:szCs w:val="18"/>
              </w:rPr>
              <w:t>European industrial environment</w:t>
            </w:r>
          </w:p>
        </w:tc>
      </w:tr>
    </w:tbl>
    <w:p w14:paraId="6DC59529" w14:textId="77777777" w:rsidR="00D30E77" w:rsidRDefault="00D30E77">
      <w:pPr>
        <w:spacing w:before="80"/>
      </w:pPr>
    </w:p>
    <w:p w14:paraId="4FF83C48" w14:textId="77777777" w:rsidR="00D30E77" w:rsidRDefault="00000000">
      <w:pPr>
        <w:spacing w:before="60" w:after="80"/>
      </w:pPr>
      <w:r>
        <w:t>Alstom's macro context is fundamentally different from the Brazilian companies in this credit series. The company operates primarily in Eurozone markets where interest rates are lower (ECB ~3.5% vs Brazilian Selic 15%), GDP growth is slower, but policy support for rail infrastructure is structurally strong and explicit. The key factors:</w:t>
      </w:r>
    </w:p>
    <w:p w14:paraId="012D6FB3"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30E77" w14:paraId="2D10C59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4722DBD3" w14:textId="77777777" w:rsidR="00D30E77" w:rsidRDefault="00000000">
            <w:r>
              <w:rPr>
                <w:b/>
                <w:bCs/>
                <w:color w:val="FFFFFF"/>
                <w:sz w:val="20"/>
                <w:szCs w:val="20"/>
              </w:rPr>
              <w:t>KPI / 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1F581788" w14:textId="77777777" w:rsidR="00D30E77" w:rsidRDefault="00000000">
            <w:r>
              <w:rPr>
                <w:b/>
                <w:bCs/>
                <w:color w:val="FFFFFF"/>
                <w:sz w:val="20"/>
                <w:szCs w:val="20"/>
              </w:rPr>
              <w:t>Value (FY2024/25)</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118B6E3D" w14:textId="77777777" w:rsidR="00D30E77" w:rsidRDefault="00000000">
            <w:r>
              <w:rPr>
                <w:b/>
                <w:bCs/>
                <w:color w:val="FFFFFF"/>
                <w:sz w:val="20"/>
                <w:szCs w:val="20"/>
              </w:rPr>
              <w:t>Commentary</w:t>
            </w:r>
          </w:p>
        </w:tc>
      </w:tr>
      <w:tr w:rsidR="00D30E77" w14:paraId="366EC14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77A25B9" w14:textId="77777777" w:rsidR="00D30E77" w:rsidRDefault="00000000">
            <w:r>
              <w:rPr>
                <w:b/>
                <w:bCs/>
                <w:sz w:val="20"/>
                <w:szCs w:val="20"/>
              </w:rPr>
              <w:t>ECB Rate (current)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406168E" w14:textId="77777777" w:rsidR="00D30E77" w:rsidRDefault="00000000">
            <w:pPr>
              <w:jc w:val="center"/>
            </w:pPr>
            <w:r>
              <w:rPr>
                <w:sz w:val="20"/>
                <w:szCs w:val="20"/>
              </w:rPr>
              <w:t>~3.5%</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89C1217" w14:textId="77777777" w:rsidR="00D30E77" w:rsidRDefault="00000000">
            <w:r>
              <w:rPr>
                <w:sz w:val="20"/>
                <w:szCs w:val="20"/>
              </w:rPr>
              <w:t>Material reduction from 2023 peak of 4.5%. Lower rates reduce Alstom's interest expense (modest impact given low absolute debt) but also reduce treasury income on cash position.</w:t>
            </w:r>
          </w:p>
        </w:tc>
      </w:tr>
      <w:tr w:rsidR="00D30E77" w14:paraId="7EF493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1FA11EB" w14:textId="77777777" w:rsidR="00D30E77" w:rsidRDefault="00000000">
            <w:r>
              <w:rPr>
                <w:b/>
                <w:bCs/>
                <w:sz w:val="20"/>
                <w:szCs w:val="20"/>
              </w:rPr>
              <w:t>EU Green Deal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18E3CA4" w14:textId="0BE85EB2" w:rsidR="00D30E77" w:rsidRDefault="0066456C">
            <w:pPr>
              <w:jc w:val="center"/>
            </w:pPr>
            <w:r>
              <w:rPr>
                <w:sz w:val="20"/>
                <w:szCs w:val="20"/>
              </w:rPr>
              <w:t>Strong Tailwind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B91201" w14:textId="77777777" w:rsidR="00D30E77" w:rsidRDefault="00000000">
            <w:r>
              <w:rPr>
                <w:sz w:val="20"/>
                <w:szCs w:val="20"/>
              </w:rPr>
              <w:t>€1 trillion+ investment plan including major rail infrastructure spending. France's plan ferroviaire, Germany's Deutschlandtakt, Italy's PNRR rail commitments all support Alstom's order book.</w:t>
            </w:r>
          </w:p>
        </w:tc>
      </w:tr>
      <w:tr w:rsidR="00D30E77" w14:paraId="1F39274D"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7CE19DD" w14:textId="77777777" w:rsidR="00D30E77" w:rsidRDefault="00000000">
            <w:r>
              <w:rPr>
                <w:b/>
                <w:bCs/>
                <w:sz w:val="20"/>
                <w:szCs w:val="20"/>
              </w:rPr>
              <w:t>EU Taxonomy Alignment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8C2F440" w14:textId="77777777" w:rsidR="00D30E77" w:rsidRDefault="00000000">
            <w:pPr>
              <w:jc w:val="center"/>
            </w:pPr>
            <w:r>
              <w:rPr>
                <w:sz w:val="20"/>
                <w:szCs w:val="20"/>
              </w:rPr>
              <w:t>66% of sales</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A21013C" w14:textId="77777777" w:rsidR="00D30E77" w:rsidRDefault="00000000">
            <w:r>
              <w:rPr>
                <w:sz w:val="20"/>
                <w:szCs w:val="20"/>
              </w:rPr>
              <w:t>One of the highest figures in European industrials. ESG-aligned investors structurally bid for Alstom equity and debt. Lower cost of capital benefit.</w:t>
            </w:r>
          </w:p>
        </w:tc>
      </w:tr>
      <w:tr w:rsidR="00D30E77" w14:paraId="3442FC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EA579E7" w14:textId="77777777" w:rsidR="00D30E77" w:rsidRDefault="00000000">
            <w:r>
              <w:rPr>
                <w:b/>
                <w:bCs/>
                <w:sz w:val="20"/>
                <w:szCs w:val="20"/>
              </w:rPr>
              <w:t>Eurozone Inflation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D429751" w14:textId="77777777" w:rsidR="00D30E77" w:rsidRDefault="00000000">
            <w:pPr>
              <w:jc w:val="center"/>
            </w:pPr>
            <w:r>
              <w:rPr>
                <w:sz w:val="20"/>
                <w:szCs w:val="20"/>
              </w:rPr>
              <w:t>~2.5% (early 2026)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EB3D6C4" w14:textId="77777777" w:rsidR="00D30E77" w:rsidRDefault="00000000">
            <w:r>
              <w:rPr>
                <w:sz w:val="20"/>
                <w:szCs w:val="20"/>
              </w:rPr>
              <w:t>Returned close to ECB 2% target. Manageable for an industrial with multi-year contracts that include price escalation clauses.</w:t>
            </w:r>
          </w:p>
        </w:tc>
      </w:tr>
      <w:tr w:rsidR="00D30E77" w14:paraId="36E7E1D4"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8EF4874" w14:textId="77777777" w:rsidR="00D30E77" w:rsidRDefault="00000000">
            <w:r>
              <w:rPr>
                <w:b/>
                <w:bCs/>
                <w:sz w:val="20"/>
                <w:szCs w:val="20"/>
              </w:rPr>
              <w:t>Trade &amp; Geopolitics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EBB50DF" w14:textId="13F04674" w:rsidR="00D30E77" w:rsidRDefault="00000000">
            <w:pPr>
              <w:jc w:val="center"/>
            </w:pPr>
            <w:r>
              <w:rPr>
                <w:sz w:val="20"/>
                <w:szCs w:val="20"/>
              </w:rPr>
              <w:t>C</w:t>
            </w:r>
            <w:r w:rsidR="0066456C">
              <w:rPr>
                <w:sz w:val="20"/>
                <w:szCs w:val="20"/>
              </w:rPr>
              <w:t>omplex</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31A66D5" w14:textId="77777777" w:rsidR="00D30E77" w:rsidRDefault="00000000">
            <w:r>
              <w:rPr>
                <w:sz w:val="20"/>
                <w:szCs w:val="20"/>
              </w:rPr>
              <w:t>Brexit, US-EU trade tensions, and Russia exposure (now divested) all add complexity but are not material credit drivers. China remains the structural competitor via CRRC, mostly in non-Western markets.</w:t>
            </w:r>
          </w:p>
        </w:tc>
      </w:tr>
      <w:tr w:rsidR="00D30E77" w14:paraId="091754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8CF63CB" w14:textId="77777777" w:rsidR="00D30E77" w:rsidRDefault="00000000">
            <w:r>
              <w:rPr>
                <w:b/>
                <w:bCs/>
                <w:sz w:val="20"/>
                <w:szCs w:val="20"/>
              </w:rPr>
              <w:t>Energy Costs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7346486" w14:textId="4CDF1785" w:rsidR="00D30E77" w:rsidRDefault="00000000">
            <w:pPr>
              <w:jc w:val="center"/>
            </w:pPr>
            <w:r>
              <w:rPr>
                <w:sz w:val="20"/>
                <w:szCs w:val="20"/>
              </w:rPr>
              <w:t>N</w:t>
            </w:r>
            <w:r w:rsidR="0066456C">
              <w:rPr>
                <w:sz w:val="20"/>
                <w:szCs w:val="20"/>
              </w:rPr>
              <w:t>ormalizing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01333C" w14:textId="77777777" w:rsidR="00D30E77" w:rsidRDefault="00000000">
            <w:r>
              <w:rPr>
                <w:sz w:val="20"/>
                <w:szCs w:val="20"/>
              </w:rPr>
              <w:t>Post-2022 energy crisis costs have largely normalised. Rail (electric traction) benefits structurally from energy transition vs road and air competitors.</w:t>
            </w:r>
          </w:p>
        </w:tc>
      </w:tr>
      <w:tr w:rsidR="00D30E77" w14:paraId="5548E53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F0C969A" w14:textId="77777777" w:rsidR="00D30E77" w:rsidRDefault="00000000">
            <w:r>
              <w:rPr>
                <w:b/>
                <w:bCs/>
                <w:sz w:val="20"/>
                <w:szCs w:val="20"/>
              </w:rPr>
              <w:t>Labour Market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0FA86D6" w14:textId="3A000D9F" w:rsidR="00D30E77" w:rsidRDefault="0066456C">
            <w:pPr>
              <w:jc w:val="center"/>
            </w:pPr>
            <w:r>
              <w:rPr>
                <w:sz w:val="20"/>
                <w:szCs w:val="20"/>
              </w:rPr>
              <w:t>Tight but improving</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6138102" w14:textId="77777777" w:rsidR="00D30E77" w:rsidRDefault="00000000">
            <w:r>
              <w:rPr>
                <w:sz w:val="20"/>
                <w:szCs w:val="20"/>
              </w:rPr>
              <w:t>Skilled engineering and manufacturing labour remains in tight supply in Germany and France. Wage inflation pressure has eased from 2023 levels.</w:t>
            </w:r>
          </w:p>
        </w:tc>
      </w:tr>
    </w:tbl>
    <w:p w14:paraId="688E8339"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7901"/>
      </w:tblGrid>
      <w:tr w:rsidR="00D30E77" w14:paraId="68F022B4"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3E4D1D30" w14:textId="77777777" w:rsidR="00D30E77" w:rsidRDefault="00000000">
            <w:pPr>
              <w:jc w:val="center"/>
            </w:pPr>
            <w:r>
              <w:rPr>
                <w:b/>
                <w:bCs/>
                <w:color w:val="FFFFFF"/>
                <w:sz w:val="19"/>
                <w:szCs w:val="19"/>
              </w:rPr>
              <w:t>THE STRUCTURAL TAILWIND</w:t>
            </w:r>
          </w:p>
        </w:tc>
        <w:tc>
          <w:tcPr>
            <w:tcW w:w="8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2F65A177" w14:textId="3E2EF427" w:rsidR="00D30E77" w:rsidRDefault="00000000">
            <w:r>
              <w:rPr>
                <w:color w:val="000000"/>
                <w:sz w:val="21"/>
                <w:szCs w:val="21"/>
              </w:rPr>
              <w:t>Rail is the only major transport mode aligned with net-zero commitments. Aviation faces carbon pressure, road transport faces decarbonisation cost challenges, and shipping faces fuel transition uncertainty. Rail is already low-carbon and is structurally favoured by policy. Alstom benefits more than any other large European industrial from this dynamic. For credit purposes, this means a 10-20 year visibility on positive policy environment that does not exist for most cyclical industrials.</w:t>
            </w:r>
          </w:p>
        </w:tc>
      </w:tr>
    </w:tbl>
    <w:p w14:paraId="5F703060" w14:textId="77777777" w:rsidR="00D30E77" w:rsidRDefault="00D30E77">
      <w:pPr>
        <w:spacing w:before="80"/>
      </w:pPr>
    </w:p>
    <w:p w14:paraId="6DFCBCAC" w14:textId="2A59599B" w:rsidR="00D30E77" w:rsidRDefault="00D30E77"/>
    <w:p w14:paraId="6D2A6932" w14:textId="77777777" w:rsidR="0066456C" w:rsidRDefault="0066456C"/>
    <w:p w14:paraId="13DEFE9C" w14:textId="77777777" w:rsidR="00D30E77" w:rsidRDefault="00000000">
      <w:pPr>
        <w:pStyle w:val="Heading1"/>
        <w:pBdr>
          <w:bottom w:val="single" w:sz="6" w:space="1" w:color="2E75B6"/>
        </w:pBdr>
        <w:shd w:val="clear" w:color="auto" w:fill="1F3864"/>
        <w:spacing w:before="0"/>
        <w:ind w:left="180" w:right="180"/>
      </w:pPr>
      <w:r>
        <w:t>Credit Summary — Overall Assessment</w:t>
      </w:r>
    </w:p>
    <w:p w14:paraId="6CDA5E57" w14:textId="77777777" w:rsidR="00D30E77" w:rsidRDefault="00D30E7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D30E77" w14:paraId="33CC4E6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10622E3D" w14:textId="77777777" w:rsidR="00D30E77" w:rsidRDefault="00000000">
            <w:r>
              <w:rPr>
                <w:b/>
                <w:bCs/>
                <w:color w:val="FFFFFF"/>
                <w:sz w:val="20"/>
                <w:szCs w:val="20"/>
              </w:rPr>
              <w:t>Credit Category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21948C97" w14:textId="77777777" w:rsidR="00D30E77" w:rsidRDefault="00000000">
            <w:r>
              <w:rPr>
                <w:b/>
                <w:bCs/>
                <w:color w:val="FFFFFF"/>
                <w:sz w:val="20"/>
                <w:szCs w:val="20"/>
              </w:rPr>
              <w:t>Assessment</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5AE239B2" w14:textId="77777777" w:rsidR="00D30E77" w:rsidRDefault="00000000">
            <w:r>
              <w:rPr>
                <w:b/>
                <w:bCs/>
                <w:color w:val="FFFFFF"/>
                <w:sz w:val="20"/>
                <w:szCs w:val="20"/>
              </w:rPr>
              <w:t>Detail</w:t>
            </w:r>
          </w:p>
        </w:tc>
      </w:tr>
      <w:tr w:rsidR="00D30E77" w14:paraId="64F5CB00"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3FE7F4F2" w14:textId="77777777" w:rsidR="00D30E77" w:rsidRDefault="00000000">
            <w:r>
              <w:rPr>
                <w:b/>
                <w:bCs/>
                <w:sz w:val="20"/>
                <w:szCs w:val="20"/>
              </w:rPr>
              <w:t>Business Model</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40ACBE9B" w14:textId="77777777" w:rsidR="00D30E77" w:rsidRDefault="00000000">
            <w:pPr>
              <w:jc w:val="center"/>
            </w:pPr>
            <w:r>
              <w:rPr>
                <w:b/>
                <w:bCs/>
                <w:color w:val="375623"/>
                <w:sz w:val="18"/>
                <w:szCs w:val="18"/>
              </w:rPr>
              <w:t>STRONG</w:t>
            </w:r>
          </w:p>
        </w:tc>
        <w:tc>
          <w:tcPr>
            <w:tcW w:w="5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3E192038" w14:textId="77777777" w:rsidR="00D30E77" w:rsidRDefault="00000000">
            <w:r>
              <w:rPr>
                <w:sz w:val="19"/>
                <w:szCs w:val="19"/>
              </w:rPr>
              <w:t>Global #2 rail equipment maker (post-CRRC). €100B+ backlog = 5+ years of revenue visibility. Structural demand from EU Green Deal, climate transition, urbanisation.</w:t>
            </w:r>
          </w:p>
        </w:tc>
      </w:tr>
      <w:tr w:rsidR="00D30E77" w14:paraId="1DFC3D9C"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4479A3DB" w14:textId="77777777" w:rsidR="00D30E77" w:rsidRDefault="00000000">
            <w:r>
              <w:rPr>
                <w:b/>
                <w:bCs/>
                <w:sz w:val="20"/>
                <w:szCs w:val="20"/>
              </w:rPr>
              <w:t>FY24/25 Leverage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098FCEC5" w14:textId="77777777" w:rsidR="00D30E77" w:rsidRDefault="00000000">
            <w:pPr>
              <w:jc w:val="center"/>
            </w:pPr>
            <w:r>
              <w:rPr>
                <w:b/>
                <w:bCs/>
                <w:color w:val="375623"/>
                <w:sz w:val="18"/>
                <w:szCs w:val="18"/>
              </w:rPr>
              <w:t>LOW</w:t>
            </w:r>
          </w:p>
        </w:tc>
        <w:tc>
          <w:tcPr>
            <w:tcW w:w="5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6CFC169C" w14:textId="77777777" w:rsidR="00D30E77" w:rsidRDefault="00000000">
            <w:r>
              <w:rPr>
                <w:sz w:val="19"/>
                <w:szCs w:val="19"/>
              </w:rPr>
              <w:t>Net debt €434M on €1.18B adj. EBIT = ~0.4x. Down from €2.99B at FY23/24 peak. Among lowest leverage in European industrials.</w:t>
            </w:r>
          </w:p>
        </w:tc>
      </w:tr>
      <w:tr w:rsidR="00D30E77" w14:paraId="75E0ABF0"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70D4428A" w14:textId="77777777" w:rsidR="00D30E77" w:rsidRDefault="00000000">
            <w:r>
              <w:rPr>
                <w:b/>
                <w:bCs/>
                <w:sz w:val="20"/>
                <w:szCs w:val="20"/>
              </w:rPr>
              <w:t>Liquidity</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1A09A32B" w14:textId="77777777" w:rsidR="00D30E77" w:rsidRDefault="00000000">
            <w:pPr>
              <w:jc w:val="center"/>
            </w:pPr>
            <w:r>
              <w:rPr>
                <w:b/>
                <w:bCs/>
                <w:color w:val="375623"/>
                <w:sz w:val="18"/>
                <w:szCs w:val="18"/>
              </w:rPr>
              <w:t>VERY STRONG</w:t>
            </w:r>
          </w:p>
        </w:tc>
        <w:tc>
          <w:tcPr>
            <w:tcW w:w="5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7EC565D6" w14:textId="77777777" w:rsidR="00D30E77" w:rsidRDefault="00000000">
            <w:r>
              <w:rPr>
                <w:sz w:val="19"/>
                <w:szCs w:val="19"/>
              </w:rPr>
              <w:t>€2.3B cash + €2.5B Liquidity RCF + €1.75B Backstop RCF (both undrawn). Far exceeds any short-term obligations.</w:t>
            </w:r>
          </w:p>
        </w:tc>
      </w:tr>
      <w:tr w:rsidR="00D30E77" w14:paraId="4DE6F7E0"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4731174A" w14:textId="77777777" w:rsidR="00D30E77" w:rsidRDefault="00000000">
            <w:r>
              <w:rPr>
                <w:b/>
                <w:bCs/>
                <w:sz w:val="20"/>
                <w:szCs w:val="20"/>
              </w:rPr>
              <w:t>Credit Rating</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41574A86" w14:textId="77777777" w:rsidR="00D30E77" w:rsidRDefault="00000000">
            <w:pPr>
              <w:jc w:val="center"/>
            </w:pPr>
            <w:r>
              <w:rPr>
                <w:b/>
                <w:bCs/>
                <w:color w:val="375623"/>
                <w:sz w:val="18"/>
                <w:szCs w:val="18"/>
              </w:rPr>
              <w:t>INVESTMENT GRADE</w:t>
            </w:r>
          </w:p>
        </w:tc>
        <w:tc>
          <w:tcPr>
            <w:tcW w:w="5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4CD2CBF3" w14:textId="77777777" w:rsidR="00D30E77" w:rsidRDefault="00000000">
            <w:r>
              <w:rPr>
                <w:sz w:val="19"/>
                <w:szCs w:val="19"/>
              </w:rPr>
              <w:t>Moody's Baa3 STABLE (affirmed May 2025). Successfully recovered from negative outlook trough of Oct 2023 → Jun 2024.</w:t>
            </w:r>
          </w:p>
        </w:tc>
      </w:tr>
      <w:tr w:rsidR="00D30E77" w14:paraId="0CB0BA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30C03AF8" w14:textId="77777777" w:rsidR="00D30E77" w:rsidRDefault="00000000">
            <w:r>
              <w:rPr>
                <w:b/>
                <w:bCs/>
                <w:sz w:val="20"/>
                <w:szCs w:val="20"/>
              </w:rPr>
              <w:t>FY24/25 Margins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59A319D4" w14:textId="77777777" w:rsidR="00D30E77" w:rsidRDefault="00000000">
            <w:pPr>
              <w:jc w:val="center"/>
            </w:pPr>
            <w:r>
              <w:rPr>
                <w:b/>
                <w:bCs/>
                <w:color w:val="7F6000"/>
                <w:sz w:val="18"/>
                <w:szCs w:val="18"/>
              </w:rPr>
              <w:t>RECOVERING</w:t>
            </w:r>
          </w:p>
        </w:tc>
        <w:tc>
          <w:tcPr>
            <w:tcW w:w="5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6122BCC5" w14:textId="77777777" w:rsidR="00D30E77" w:rsidRDefault="00000000">
            <w:r>
              <w:rPr>
                <w:sz w:val="19"/>
                <w:szCs w:val="19"/>
              </w:rPr>
              <w:t>Adj. EBIT margin 6.4% (+70bps YoY). Backlog gross margin 17.8% (+30bps). Ambition 8-10% by FY26/27.</w:t>
            </w:r>
          </w:p>
        </w:tc>
      </w:tr>
      <w:tr w:rsidR="00D30E77" w14:paraId="47F7447D"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72FCABCF" w14:textId="77777777" w:rsidR="00D30E77" w:rsidRDefault="00000000">
            <w:r>
              <w:rPr>
                <w:b/>
                <w:bCs/>
                <w:sz w:val="20"/>
                <w:szCs w:val="20"/>
              </w:rPr>
              <w:t>Free Cash Flow</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62581F01" w14:textId="77777777" w:rsidR="00D30E77" w:rsidRDefault="00000000">
            <w:pPr>
              <w:jc w:val="center"/>
            </w:pPr>
            <w:r>
              <w:rPr>
                <w:b/>
                <w:bCs/>
                <w:color w:val="375623"/>
                <w:sz w:val="18"/>
                <w:szCs w:val="18"/>
              </w:rPr>
              <w:t>RECOVERED</w:t>
            </w:r>
          </w:p>
        </w:tc>
        <w:tc>
          <w:tcPr>
            <w:tcW w:w="5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69AA5E79" w14:textId="77777777" w:rsidR="00D30E77" w:rsidRDefault="00000000">
            <w:r>
              <w:rPr>
                <w:sz w:val="19"/>
                <w:szCs w:val="19"/>
              </w:rPr>
              <w:t>€502M FCF in FY24/25 vs €(557)M in FY23/24. €1.5B cumulative FCF target across FY24/25–FY26/27.</w:t>
            </w:r>
          </w:p>
        </w:tc>
      </w:tr>
      <w:tr w:rsidR="00D30E77" w14:paraId="0C157E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740B44E7" w14:textId="77777777" w:rsidR="00D30E77" w:rsidRDefault="00000000">
            <w:r>
              <w:rPr>
                <w:b/>
                <w:bCs/>
                <w:sz w:val="20"/>
                <w:szCs w:val="20"/>
              </w:rPr>
              <w:t>Bombardier Legacy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6F5F356C" w14:textId="77777777" w:rsidR="00D30E77" w:rsidRDefault="00000000">
            <w:pPr>
              <w:jc w:val="center"/>
            </w:pPr>
            <w:r>
              <w:rPr>
                <w:b/>
                <w:bCs/>
                <w:color w:val="7F6000"/>
                <w:sz w:val="18"/>
                <w:szCs w:val="18"/>
              </w:rPr>
              <w:t>WANING</w:t>
            </w:r>
          </w:p>
        </w:tc>
        <w:tc>
          <w:tcPr>
            <w:tcW w:w="5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32915277" w14:textId="77777777" w:rsidR="00D30E77" w:rsidRDefault="00000000">
            <w:r>
              <w:rPr>
                <w:sz w:val="19"/>
                <w:szCs w:val="19"/>
              </w:rPr>
              <w:t>Integration complete. Legacy low-margin contracts being executed and replaced with higher-quality new orders. ~17.8% gross margin in backlog vs ~5-7% on legacy contracts.</w:t>
            </w:r>
          </w:p>
        </w:tc>
      </w:tr>
      <w:tr w:rsidR="00D30E77" w14:paraId="3F8B99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2F95F06B" w14:textId="77777777" w:rsidR="00D30E77" w:rsidRDefault="00000000">
            <w:r>
              <w:rPr>
                <w:b/>
                <w:bCs/>
                <w:sz w:val="20"/>
                <w:szCs w:val="20"/>
              </w:rPr>
              <w:t>Working Capital Risk</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26350693" w14:textId="77777777" w:rsidR="00D30E77" w:rsidRDefault="00000000">
            <w:pPr>
              <w:jc w:val="center"/>
            </w:pPr>
            <w:r>
              <w:rPr>
                <w:b/>
                <w:bCs/>
                <w:color w:val="7F6000"/>
                <w:sz w:val="18"/>
                <w:szCs w:val="18"/>
              </w:rPr>
              <w:t>WATCH</w:t>
            </w:r>
          </w:p>
        </w:tc>
        <w:tc>
          <w:tcPr>
            <w:tcW w:w="5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5B49F6BD" w14:textId="77777777" w:rsidR="00D30E77" w:rsidRDefault="00000000">
            <w:r>
              <w:rPr>
                <w:sz w:val="19"/>
                <w:szCs w:val="19"/>
              </w:rPr>
              <w:t>Long-cycle contracts create lumpy WC. €(110)M Contract WC headwind in FY24/25. Could absorb cash if rolling stock projects run late.</w:t>
            </w:r>
          </w:p>
        </w:tc>
      </w:tr>
      <w:tr w:rsidR="00D30E77" w14:paraId="63A222FF"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698C084E" w14:textId="77777777" w:rsidR="00D30E77" w:rsidRDefault="00000000">
            <w:r>
              <w:rPr>
                <w:b/>
                <w:bCs/>
                <w:sz w:val="20"/>
                <w:szCs w:val="20"/>
              </w:rPr>
              <w:t>Overall Credit View</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3C278582" w14:textId="77777777" w:rsidR="00D30E77" w:rsidRDefault="00000000">
            <w:pPr>
              <w:jc w:val="center"/>
            </w:pPr>
            <w:r>
              <w:rPr>
                <w:b/>
                <w:bCs/>
                <w:color w:val="375623"/>
                <w:sz w:val="18"/>
                <w:szCs w:val="18"/>
              </w:rPr>
              <w:t>LOW-MODERATE RISK / IG</w:t>
            </w:r>
          </w:p>
        </w:tc>
        <w:tc>
          <w:tcPr>
            <w:tcW w:w="5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533998A7" w14:textId="77777777" w:rsidR="00D30E77" w:rsidRDefault="00000000">
            <w:r>
              <w:rPr>
                <w:sz w:val="19"/>
                <w:szCs w:val="19"/>
              </w:rPr>
              <w:t>Successfully executed turnaround. Investment grade restored. Strong backlog visibility. Primary risk now is project execution, not balance sheet. Recommended for credit extension at IG pricing.</w:t>
            </w:r>
          </w:p>
        </w:tc>
      </w:tr>
    </w:tbl>
    <w:p w14:paraId="5E2572CB" w14:textId="77777777" w:rsidR="00D30E77" w:rsidRDefault="00D30E77">
      <w:pPr>
        <w:spacing w:before="100"/>
      </w:pPr>
    </w:p>
    <w:p w14:paraId="5446B60B" w14:textId="030188E3" w:rsidR="0066456C" w:rsidRDefault="0066456C">
      <w:pPr>
        <w:spacing w:before="100"/>
      </w:pPr>
    </w:p>
    <w:p w14:paraId="5DB1ADA3" w14:textId="77777777" w:rsidR="00D30E77" w:rsidRDefault="00000000">
      <w:pPr>
        <w:pStyle w:val="Heading2"/>
        <w:pBdr>
          <w:bottom w:val="single" w:sz="4" w:space="1" w:color="2E5FA3"/>
        </w:pBdr>
      </w:pPr>
      <w:r>
        <w:t>The 5 Key Facts for Itaú's Credit Committee</w:t>
      </w:r>
    </w:p>
    <w:p w14:paraId="045F2288" w14:textId="7C13145F" w:rsidR="00D30E77" w:rsidRDefault="00000000">
      <w:pPr>
        <w:pStyle w:val="ListParagraph"/>
        <w:numPr>
          <w:ilvl w:val="0"/>
          <w:numId w:val="2"/>
        </w:numPr>
        <w:spacing w:before="40" w:after="40"/>
      </w:pPr>
      <w:r>
        <w:rPr>
          <w:b/>
          <w:bCs/>
          <w:color w:val="1F3864"/>
        </w:rPr>
        <w:t>1. The Turnaround:</w:t>
      </w:r>
      <w:r>
        <w:t xml:space="preserve"> Alstom executed a textbook credit recovery in twelve months. From €2.99B net debt and Moody's negative outlook in October 2023 to €434M net debt and Baa3 stable in May 2025. The deleveraging plan (€1B equity + €750M hybrid + €600M divestiture) is a benchmark for any credit committee evaluating similar M&amp;A-driven stress situations.</w:t>
      </w:r>
    </w:p>
    <w:p w14:paraId="50BC667D" w14:textId="0A9E759F" w:rsidR="00D30E77" w:rsidRDefault="00000000">
      <w:pPr>
        <w:pStyle w:val="ListParagraph"/>
        <w:numPr>
          <w:ilvl w:val="0"/>
          <w:numId w:val="2"/>
        </w:numPr>
        <w:spacing w:before="40" w:after="40"/>
      </w:pPr>
      <w:r>
        <w:rPr>
          <w:b/>
          <w:bCs/>
          <w:color w:val="1F3864"/>
        </w:rPr>
        <w:t>2. The Backlog:</w:t>
      </w:r>
      <w:r>
        <w:t xml:space="preserve"> €100B+ backlog provides genuine visibility on 5+ years of revenue. Gross margin in backlog (17.8%, +30bps YoY) is rising, indicating that new orders are higher quality than legacy contracts. This is the single most important credit support factor.</w:t>
      </w:r>
    </w:p>
    <w:p w14:paraId="66B4B442" w14:textId="2221ED6F" w:rsidR="00D30E77" w:rsidRDefault="00000000">
      <w:pPr>
        <w:pStyle w:val="ListParagraph"/>
        <w:numPr>
          <w:ilvl w:val="0"/>
          <w:numId w:val="2"/>
        </w:numPr>
        <w:spacing w:before="40" w:after="40"/>
      </w:pPr>
      <w:r>
        <w:rPr>
          <w:b/>
          <w:bCs/>
          <w:color w:val="1F3864"/>
        </w:rPr>
        <w:t>3. Margin Runway:</w:t>
      </w:r>
      <w:r>
        <w:t>Current 6.4% adjusted EBIT margin vs management's 8-10% medium-term ambition. The runway exists structurally: cost savings (+60bps already delivered), gross margin expansion (+30bps from backlog mix), and legacy Bombardier drag (−30bps) reversing. Path to 8% margin is credible by FY26/27.</w:t>
      </w:r>
    </w:p>
    <w:p w14:paraId="3D742291" w14:textId="05AB7ABD" w:rsidR="00D30E77" w:rsidRDefault="00000000">
      <w:pPr>
        <w:pStyle w:val="ListParagraph"/>
        <w:numPr>
          <w:ilvl w:val="0"/>
          <w:numId w:val="2"/>
        </w:numPr>
        <w:spacing w:before="40" w:after="40"/>
      </w:pPr>
      <w:r>
        <w:rPr>
          <w:b/>
          <w:bCs/>
          <w:color w:val="1F3864"/>
        </w:rPr>
        <w:lastRenderedPageBreak/>
        <w:t>4. The Liquidity Fortress:</w:t>
      </w:r>
      <w:r>
        <w:t xml:space="preserve"> €6.55B total liquidity (€2.3B cash + €4.25B undrawn RCFs) for a company with €18.5B revenue and €434M net debt. Liquidity covers more than a full year of operations and provides strategic flexibility for working capital shocks or counter-cyclical M&amp;A.</w:t>
      </w:r>
    </w:p>
    <w:p w14:paraId="2B5EDF4E" w14:textId="40728D82" w:rsidR="00D30E77" w:rsidRDefault="00000000">
      <w:pPr>
        <w:pStyle w:val="ListParagraph"/>
        <w:numPr>
          <w:ilvl w:val="0"/>
          <w:numId w:val="2"/>
        </w:numPr>
        <w:spacing w:before="40" w:after="40"/>
      </w:pPr>
      <w:r>
        <w:rPr>
          <w:b/>
          <w:bCs/>
          <w:color w:val="1F3864"/>
        </w:rPr>
        <w:t>5. Operational Watch</w:t>
      </w:r>
      <w:r>
        <w:t>: Financial credit metrics are now strong. The remaining risks are operational: rolling stock supply chain delays, Germany transformation plan execution, legacy contract completion at expected margins. These are project management risks, not balance sheet risks. Itaú should monitor delivery KPIs rather than financial ratios going forward.</w:t>
      </w:r>
    </w:p>
    <w:p w14:paraId="71A989E0" w14:textId="77777777" w:rsidR="00D30E77" w:rsidRDefault="00D30E77">
      <w:pPr>
        <w:spacing w:before="80"/>
      </w:pPr>
    </w:p>
    <w:p w14:paraId="3D758979" w14:textId="7CF695C6" w:rsidR="0066456C" w:rsidRDefault="0066456C" w:rsidP="0066456C">
      <w:pPr>
        <w:pStyle w:val="Heading2"/>
        <w:pBdr>
          <w:bottom w:val="single" w:sz="4" w:space="1" w:color="2E5FA3"/>
        </w:pBdr>
      </w:pPr>
      <w:r>
        <w:t xml:space="preserve">Potential questions to ask: </w:t>
      </w:r>
    </w:p>
    <w:p w14:paraId="364A4AF6" w14:textId="6127B448" w:rsidR="0066456C" w:rsidRDefault="0066456C">
      <w:pPr>
        <w:spacing w:before="80"/>
      </w:pPr>
    </w:p>
    <w:p w14:paraId="3B459507" w14:textId="07EE2370" w:rsidR="0066456C" w:rsidRDefault="0066456C">
      <w:pPr>
        <w:spacing w:before="80"/>
      </w:pPr>
      <w:r>
        <w:t xml:space="preserve">Q1: </w:t>
      </w:r>
      <w:r>
        <w:t>You have materially repaired the balance sheet over the last twelve months. How should we think about the next phase: further deleveraging, shareholder returns, bolt-on M&amp;A, or organic investment?</w:t>
      </w:r>
    </w:p>
    <w:p w14:paraId="7F378180" w14:textId="77777777" w:rsidR="0066456C" w:rsidRDefault="0066456C">
      <w:pPr>
        <w:spacing w:before="80"/>
      </w:pPr>
    </w:p>
    <w:p w14:paraId="5958404F" w14:textId="04922622" w:rsidR="0066456C" w:rsidRDefault="0066456C">
      <w:pPr>
        <w:spacing w:before="80"/>
      </w:pPr>
      <w:r>
        <w:t xml:space="preserve">Q2: </w:t>
      </w:r>
      <w:r>
        <w:t>The backlog gives strong revenue visibility, but what percentage of the backlog is fixed-price versus indexed or cost-pass-through?</w:t>
      </w:r>
    </w:p>
    <w:p w14:paraId="07F491A5" w14:textId="77777777" w:rsidR="0066456C" w:rsidRDefault="0066456C">
      <w:pPr>
        <w:spacing w:before="80"/>
      </w:pPr>
    </w:p>
    <w:p w14:paraId="01B45B08" w14:textId="478D48DF" w:rsidR="0066456C" w:rsidRDefault="0066456C">
      <w:pPr>
        <w:spacing w:before="80"/>
      </w:pPr>
      <w:r>
        <w:t xml:space="preserve">Q3: </w:t>
      </w:r>
      <w:r>
        <w:t>Which components or suppliers remain the biggest constraint on delivery performance today?</w:t>
      </w:r>
    </w:p>
    <w:p w14:paraId="01C24044" w14:textId="77777777" w:rsidR="0066456C" w:rsidRDefault="0066456C">
      <w:pPr>
        <w:spacing w:before="80"/>
      </w:pPr>
    </w:p>
    <w:p w14:paraId="64933847" w14:textId="64D03662" w:rsidR="0066456C" w:rsidRDefault="0066456C">
      <w:pPr>
        <w:spacing w:before="80"/>
      </w:pPr>
      <w:r>
        <w:t xml:space="preserve">Q4: </w:t>
      </w:r>
      <w:r>
        <w:t>Moody’s currently rates Alstom Baa3 with a stable outlook. What metrics does management believe are most important to defend the investment-grade rating?</w:t>
      </w:r>
    </w:p>
    <w:p w14:paraId="704405EC" w14:textId="77777777" w:rsidR="0066456C" w:rsidRDefault="0066456C">
      <w:pPr>
        <w:spacing w:before="80"/>
      </w:pPr>
    </w:p>
    <w:p w14:paraId="5E8894F3" w14:textId="083A7492" w:rsidR="0066456C" w:rsidRDefault="0066456C">
      <w:pPr>
        <w:spacing w:before="80"/>
      </w:pPr>
      <w:r>
        <w:t xml:space="preserve">Q5: </w:t>
      </w:r>
      <w:r>
        <w:t>In management’s internal downside case, what is the first pressure point: margin, working capital, liquidity, covenant headroom, or rating agency pressure?</w:t>
      </w:r>
    </w:p>
    <w:p w14:paraId="28DDAD9B" w14:textId="0C92A5A7" w:rsidR="0066456C" w:rsidRDefault="0066456C" w:rsidP="0066456C">
      <w:pPr>
        <w:pStyle w:val="NormalWeb"/>
        <w:rPr>
          <w:rStyle w:val="Strong"/>
          <w:rFonts w:ascii="Arial" w:hAnsi="Arial" w:cs="Arial"/>
          <w:b w:val="0"/>
          <w:bCs w:val="0"/>
          <w:sz w:val="22"/>
          <w:szCs w:val="22"/>
        </w:rPr>
      </w:pPr>
      <w:r>
        <w:rPr>
          <w:rStyle w:val="Strong"/>
          <w:rFonts w:ascii="Arial" w:hAnsi="Arial" w:cs="Arial"/>
          <w:b w:val="0"/>
          <w:bCs w:val="0"/>
          <w:sz w:val="22"/>
          <w:szCs w:val="22"/>
        </w:rPr>
        <w:t xml:space="preserve">Q6: </w:t>
      </w:r>
      <w:r w:rsidRPr="0066456C">
        <w:rPr>
          <w:rStyle w:val="Strong"/>
          <w:rFonts w:ascii="Arial" w:hAnsi="Arial" w:cs="Arial"/>
          <w:b w:val="0"/>
          <w:bCs w:val="0"/>
          <w:sz w:val="22"/>
          <w:szCs w:val="22"/>
        </w:rPr>
        <w:t>With around €2.3B of cash and significant undrawn credit lines, what is the intended role of bank liquidity going forward: backup liquidity, working capital support, bonding lines, or refinancing flexibility?</w:t>
      </w:r>
    </w:p>
    <w:p w14:paraId="58DB5527" w14:textId="70E9B27C" w:rsidR="0066456C" w:rsidRPr="0066456C" w:rsidRDefault="0066456C" w:rsidP="0066456C">
      <w:pPr>
        <w:spacing w:before="80"/>
        <w:rPr>
          <w:i/>
          <w:iCs/>
        </w:rPr>
      </w:pPr>
      <w:r w:rsidRPr="0066456C">
        <w:rPr>
          <w:i/>
          <w:iCs/>
        </w:rPr>
        <w:t>(Note: Added by Jérémie and Elie, will be integrated in future reports)</w:t>
      </w:r>
    </w:p>
    <w:p w14:paraId="101B4EB7" w14:textId="77777777" w:rsidR="00D30E77" w:rsidRDefault="00000000">
      <w:pPr>
        <w:pStyle w:val="Heading2"/>
        <w:pBdr>
          <w:bottom w:val="single" w:sz="4" w:space="1" w:color="2E5FA3"/>
        </w:pBdr>
      </w:pPr>
      <w:r>
        <w:t>Credit Opinion, Sector Benchmarking &amp; Market Risk</w:t>
      </w:r>
    </w:p>
    <w:p w14:paraId="02A76B05" w14:textId="77777777" w:rsidR="00D30E77" w:rsidRDefault="00000000">
      <w:pPr>
        <w:pStyle w:val="Heading3"/>
      </w:pPr>
      <w:r>
        <w:t>Credit Opinion: Compared to Peers</w:t>
      </w:r>
    </w:p>
    <w:p w14:paraId="1858D338" w14:textId="77777777" w:rsidR="00D30E77" w:rsidRDefault="00000000">
      <w:pPr>
        <w:spacing w:before="60" w:after="80"/>
      </w:pPr>
      <w:r>
        <w:t>Compared to direct rail peers (Siemens Mobility, Wabtec): Alstom is the largest pure-play but has lower margins than Wabtec (US, ~12% EBIT) and is smaller than Siemens Mobility (part of a stronger A-rated parent). Alstom's relative valuation reflects this margin gap. Closing the gap toward 8-10% margins is the central credit thesis upside.</w:t>
      </w:r>
    </w:p>
    <w:p w14:paraId="22ABC8C9" w14:textId="77777777" w:rsidR="00D30E77" w:rsidRDefault="00D30E7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7796"/>
      </w:tblGrid>
      <w:tr w:rsidR="00D30E77" w14:paraId="0657B0AC" w14:textId="77777777">
        <w:tc>
          <w:tcPr>
            <w:tcW w:w="136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80" w:type="dxa"/>
              <w:bottom w:w="100" w:type="dxa"/>
              <w:right w:w="80" w:type="dxa"/>
            </w:tcMar>
            <w:vAlign w:val="center"/>
          </w:tcPr>
          <w:p w14:paraId="33429EC3" w14:textId="77777777" w:rsidR="00D30E77" w:rsidRDefault="00000000">
            <w:pPr>
              <w:jc w:val="center"/>
            </w:pPr>
            <w:r>
              <w:rPr>
                <w:b/>
                <w:bCs/>
                <w:color w:val="FFFFFF"/>
                <w:sz w:val="19"/>
                <w:szCs w:val="19"/>
              </w:rPr>
              <w:t>COMPARATIVE VERDICT</w:t>
            </w:r>
          </w:p>
        </w:tc>
        <w:tc>
          <w:tcPr>
            <w:tcW w:w="8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20" w:type="dxa"/>
            </w:tcMar>
          </w:tcPr>
          <w:p w14:paraId="1DD16D38" w14:textId="29968E3A" w:rsidR="00D30E77" w:rsidRDefault="00000000">
            <w:r>
              <w:rPr>
                <w:color w:val="000000"/>
                <w:sz w:val="21"/>
                <w:szCs w:val="21"/>
              </w:rPr>
              <w:t>Alstom should be priced at EURIBOR + 1.0-1.5% for 3-5 year tenors —tighter than Brazilian high-yield credits. The valuation reflects investment grade status with continued execution risk monitoring.</w:t>
            </w:r>
          </w:p>
        </w:tc>
      </w:tr>
    </w:tbl>
    <w:p w14:paraId="6D217A38" w14:textId="77777777" w:rsidR="00D30E77" w:rsidRDefault="00D30E77">
      <w:pPr>
        <w:spacing w:before="80"/>
      </w:pPr>
    </w:p>
    <w:p w14:paraId="385A97FA" w14:textId="77777777" w:rsidR="00D30E77" w:rsidRDefault="00000000">
      <w:pPr>
        <w:pStyle w:val="Heading3"/>
      </w:pPr>
      <w:r>
        <w:lastRenderedPageBreak/>
        <w:t>Sector Benchmarking: Alstom vs. Global Rail Equipment Peers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400"/>
        <w:gridCol w:w="1560"/>
        <w:gridCol w:w="2000"/>
      </w:tblGrid>
      <w:tr w:rsidR="00D30E77" w14:paraId="05874EA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06851F60" w14:textId="77777777" w:rsidR="00D30E77" w:rsidRDefault="00000000">
            <w:r>
              <w:rPr>
                <w:b/>
                <w:bCs/>
                <w:color w:val="FFFFFF"/>
                <w:sz w:val="20"/>
                <w:szCs w:val="20"/>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3C115947" w14:textId="77777777" w:rsidR="00D30E77" w:rsidRDefault="00000000">
            <w:r>
              <w:rPr>
                <w:b/>
                <w:bCs/>
                <w:color w:val="FFFFFF"/>
                <w:sz w:val="20"/>
                <w:szCs w:val="20"/>
              </w:rPr>
              <w:t>Revenue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009AC380" w14:textId="77777777" w:rsidR="00D30E77" w:rsidRDefault="00000000">
            <w:r>
              <w:rPr>
                <w:b/>
                <w:bCs/>
                <w:color w:val="FFFFFF"/>
                <w:sz w:val="20"/>
                <w:szCs w:val="20"/>
              </w:rPr>
              <w:t>EBIT Margin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4C4ABCA6" w14:textId="77777777" w:rsidR="00D30E77" w:rsidRDefault="00000000">
            <w:r>
              <w:rPr>
                <w:b/>
                <w:bCs/>
                <w:color w:val="FFFFFF"/>
                <w:sz w:val="20"/>
                <w:szCs w:val="20"/>
              </w:rPr>
              <w:t>Net Debt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6A33FA27" w14:textId="77777777" w:rsidR="00D30E77" w:rsidRDefault="00000000">
            <w:r>
              <w:rPr>
                <w:b/>
                <w:bCs/>
                <w:color w:val="FFFFFF"/>
                <w:sz w:val="20"/>
                <w:szCs w:val="20"/>
              </w:rPr>
              <w:t>Rating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6710AB44" w14:textId="77777777" w:rsidR="00D30E77" w:rsidRDefault="00000000">
            <w:r>
              <w:rPr>
                <w:b/>
                <w:bCs/>
                <w:color w:val="FFFFFF"/>
                <w:sz w:val="20"/>
                <w:szCs w:val="20"/>
              </w:rPr>
              <w:t>Market Risk</w:t>
            </w:r>
          </w:p>
        </w:tc>
      </w:tr>
      <w:tr w:rsidR="00D30E77" w14:paraId="2FA7D7BF"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2E06B27" w14:textId="77777777" w:rsidR="00D30E77" w:rsidRDefault="00000000">
            <w:r>
              <w:rPr>
                <w:b/>
                <w:bCs/>
                <w:sz w:val="20"/>
                <w:szCs w:val="20"/>
              </w:rPr>
              <w:t>Alstom (France)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667B89E3" w14:textId="77777777" w:rsidR="00D30E77" w:rsidRDefault="00000000">
            <w:r>
              <w:rPr>
                <w:sz w:val="20"/>
                <w:szCs w:val="20"/>
              </w:rPr>
              <w:t>€18.5B</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C65B7B0" w14:textId="77777777" w:rsidR="00D30E77" w:rsidRDefault="00000000">
            <w:pPr>
              <w:jc w:val="center"/>
            </w:pPr>
            <w:r>
              <w:rPr>
                <w:sz w:val="20"/>
                <w:szCs w:val="20"/>
              </w:rPr>
              <w:t>6.4%</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54495D5" w14:textId="77777777" w:rsidR="00D30E77" w:rsidRDefault="00000000">
            <w:pPr>
              <w:jc w:val="center"/>
            </w:pPr>
            <w:r>
              <w:rPr>
                <w:sz w:val="20"/>
                <w:szCs w:val="20"/>
              </w:rPr>
              <w:t>€434M (0.4x)</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334DD60" w14:textId="77777777" w:rsidR="00D30E77" w:rsidRDefault="00000000">
            <w:pPr>
              <w:jc w:val="center"/>
            </w:pPr>
            <w:r>
              <w:rPr>
                <w:sz w:val="20"/>
                <w:szCs w:val="20"/>
              </w:rPr>
              <w:t>Baa3/Stable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E1D9346" w14:textId="77777777" w:rsidR="00D30E77" w:rsidRDefault="00000000">
            <w:pPr>
              <w:jc w:val="center"/>
            </w:pPr>
            <w:r>
              <w:rPr>
                <w:b/>
                <w:bCs/>
                <w:sz w:val="20"/>
                <w:szCs w:val="20"/>
              </w:rPr>
              <w:t>Low-Moderate</w:t>
            </w:r>
          </w:p>
        </w:tc>
      </w:tr>
      <w:tr w:rsidR="00D30E77" w14:paraId="66BBBDEB"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50C82C4" w14:textId="77777777" w:rsidR="00D30E77" w:rsidRDefault="00000000">
            <w:r>
              <w:rPr>
                <w:sz w:val="20"/>
                <w:szCs w:val="20"/>
              </w:rPr>
              <w:t>Siemens Mobility (Germany)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C0184E0" w14:textId="77777777" w:rsidR="00D30E77" w:rsidRDefault="00000000">
            <w:r>
              <w:rPr>
                <w:sz w:val="20"/>
                <w:szCs w:val="20"/>
              </w:rPr>
              <w:t>~€11B</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1535FE3" w14:textId="77777777" w:rsidR="00D30E77" w:rsidRDefault="00000000">
            <w:pPr>
              <w:jc w:val="center"/>
            </w:pPr>
            <w:r>
              <w:rPr>
                <w:sz w:val="20"/>
                <w:szCs w:val="20"/>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692717D" w14:textId="77777777" w:rsidR="00D30E77" w:rsidRDefault="00000000">
            <w:pPr>
              <w:jc w:val="center"/>
            </w:pPr>
            <w:r>
              <w:rPr>
                <w:sz w:val="20"/>
                <w:szCs w:val="20"/>
              </w:rPr>
              <w:t>Part of Siemens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B18A313" w14:textId="77777777" w:rsidR="00D30E77" w:rsidRDefault="00000000">
            <w:pPr>
              <w:jc w:val="center"/>
            </w:pPr>
            <w:r>
              <w:rPr>
                <w:sz w:val="20"/>
                <w:szCs w:val="20"/>
              </w:rPr>
              <w:t>A1 (parent)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6B34E17F" w14:textId="77777777" w:rsidR="00D30E77" w:rsidRDefault="00000000">
            <w:pPr>
              <w:jc w:val="center"/>
            </w:pPr>
            <w:r>
              <w:rPr>
                <w:sz w:val="20"/>
                <w:szCs w:val="20"/>
              </w:rPr>
              <w:t>Low</w:t>
            </w:r>
          </w:p>
        </w:tc>
      </w:tr>
      <w:tr w:rsidR="00D30E77" w14:paraId="4CB037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4B71D915" w14:textId="77777777" w:rsidR="00D30E77" w:rsidRDefault="00000000">
            <w:r>
              <w:rPr>
                <w:sz w:val="20"/>
                <w:szCs w:val="20"/>
              </w:rPr>
              <w:t>CRRC (China)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9A1C601" w14:textId="77777777" w:rsidR="00D30E77" w:rsidRDefault="00000000">
            <w:r>
              <w:rPr>
                <w:sz w:val="20"/>
                <w:szCs w:val="20"/>
              </w:rPr>
              <w:t>~RMB 250B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E360A39" w14:textId="77777777" w:rsidR="00D30E77" w:rsidRDefault="00000000">
            <w:pPr>
              <w:jc w:val="center"/>
            </w:pPr>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A332231" w14:textId="77777777" w:rsidR="00D30E77" w:rsidRDefault="00000000">
            <w:pPr>
              <w:jc w:val="center"/>
            </w:pPr>
            <w:r>
              <w:rPr>
                <w:sz w:val="20"/>
                <w:szCs w:val="20"/>
              </w:rPr>
              <w:t>Net cash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6B3AAD0" w14:textId="77777777" w:rsidR="00D30E77" w:rsidRDefault="00000000">
            <w:pPr>
              <w:jc w:val="center"/>
            </w:pPr>
            <w:r>
              <w:rPr>
                <w:sz w:val="20"/>
                <w:szCs w:val="20"/>
              </w:rPr>
              <w:t>N/A (state-owned)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5ACAE87" w14:textId="77777777" w:rsidR="00D30E77" w:rsidRDefault="00000000">
            <w:pPr>
              <w:jc w:val="center"/>
            </w:pPr>
            <w:r>
              <w:rPr>
                <w:sz w:val="20"/>
                <w:szCs w:val="20"/>
              </w:rPr>
              <w:t>State-supported</w:t>
            </w:r>
          </w:p>
        </w:tc>
      </w:tr>
      <w:tr w:rsidR="00D30E77" w14:paraId="7B480F52"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1F3BD40C" w14:textId="77777777" w:rsidR="00D30E77" w:rsidRDefault="00000000">
            <w:r>
              <w:rPr>
                <w:sz w:val="20"/>
                <w:szCs w:val="20"/>
              </w:rPr>
              <w:t>Wabtec (US)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542954B" w14:textId="77777777" w:rsidR="00D30E77" w:rsidRDefault="00000000">
            <w:r>
              <w:rPr>
                <w:sz w:val="20"/>
                <w:szCs w:val="20"/>
              </w:rPr>
              <w:t>~$11B</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6663C47" w14:textId="77777777" w:rsidR="00D30E77" w:rsidRDefault="00000000">
            <w:pPr>
              <w:jc w:val="center"/>
            </w:pPr>
            <w:r>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B236E6C" w14:textId="77777777" w:rsidR="00D30E77" w:rsidRDefault="00000000">
            <w:pPr>
              <w:jc w:val="center"/>
            </w:pPr>
            <w:r>
              <w:rPr>
                <w:sz w:val="20"/>
                <w:szCs w:val="20"/>
              </w:rPr>
              <w:t>~2.0x</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94FFE07" w14:textId="77777777" w:rsidR="00D30E77" w:rsidRDefault="00000000">
            <w:pPr>
              <w:jc w:val="center"/>
            </w:pPr>
            <w:r>
              <w:rPr>
                <w:sz w:val="20"/>
                <w:szCs w:val="20"/>
              </w:rPr>
              <w:t>BBB+/Stable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7CD10F62" w14:textId="77777777" w:rsidR="00D30E77" w:rsidRDefault="00000000">
            <w:pPr>
              <w:jc w:val="center"/>
            </w:pPr>
            <w:r>
              <w:rPr>
                <w:sz w:val="20"/>
                <w:szCs w:val="20"/>
              </w:rPr>
              <w:t>Low</w:t>
            </w:r>
          </w:p>
        </w:tc>
      </w:tr>
      <w:tr w:rsidR="00D30E77" w14:paraId="2627FD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680AC36" w14:textId="77777777" w:rsidR="00D30E77" w:rsidRDefault="00000000">
            <w:r>
              <w:rPr>
                <w:sz w:val="20"/>
                <w:szCs w:val="20"/>
              </w:rPr>
              <w:t>Hitachi Rail (Japan)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615B4AFD" w14:textId="77777777" w:rsidR="00D30E77" w:rsidRDefault="00000000">
            <w:r>
              <w:rPr>
                <w:sz w:val="20"/>
                <w:szCs w:val="20"/>
              </w:rPr>
              <w:t>~£5B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0658AEAB" w14:textId="77777777" w:rsidR="00D30E77" w:rsidRDefault="00000000">
            <w:pPr>
              <w:jc w:val="center"/>
            </w:pPr>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13319909" w14:textId="77777777" w:rsidR="00D30E77" w:rsidRDefault="00000000">
            <w:pPr>
              <w:jc w:val="center"/>
            </w:pPr>
            <w:r>
              <w:rPr>
                <w:sz w:val="20"/>
                <w:szCs w:val="20"/>
              </w:rPr>
              <w:t>Part of Hitachi</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70C8A99C" w14:textId="77777777" w:rsidR="00D30E77" w:rsidRDefault="00000000">
            <w:pPr>
              <w:jc w:val="center"/>
            </w:pPr>
            <w:r>
              <w:rPr>
                <w:sz w:val="20"/>
                <w:szCs w:val="20"/>
              </w:rPr>
              <w:t>A/A2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tcPr>
          <w:p w14:paraId="5D1FC07A" w14:textId="77777777" w:rsidR="00D30E77" w:rsidRDefault="00000000">
            <w:pPr>
              <w:jc w:val="center"/>
            </w:pPr>
            <w:r>
              <w:rPr>
                <w:sz w:val="20"/>
                <w:szCs w:val="20"/>
              </w:rPr>
              <w:t>Low</w:t>
            </w:r>
          </w:p>
        </w:tc>
      </w:tr>
    </w:tbl>
    <w:p w14:paraId="6732617D" w14:textId="77777777" w:rsidR="00D30E77" w:rsidRDefault="00D30E77">
      <w:pPr>
        <w:spacing w:before="80"/>
      </w:pPr>
    </w:p>
    <w:p w14:paraId="12D2F445" w14:textId="77777777" w:rsidR="00D30E77" w:rsidRDefault="00000000">
      <w:pPr>
        <w:pStyle w:val="Heading3"/>
      </w:pPr>
      <w:r>
        <w:t>Market Risk Classification with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D30E77" w14:paraId="7A47A67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41F1B835" w14:textId="77777777" w:rsidR="00D30E77" w:rsidRDefault="00000000">
            <w:r>
              <w:rPr>
                <w:b/>
                <w:bCs/>
                <w:color w:val="FFFFFF"/>
                <w:sz w:val="20"/>
                <w:szCs w:val="20"/>
              </w:rPr>
              <w:t>Risk 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7134AB7B" w14:textId="77777777" w:rsidR="00D30E77" w:rsidRDefault="00000000">
            <w:r>
              <w:rPr>
                <w:b/>
                <w:bCs/>
                <w:color w:val="FFFFFF"/>
                <w:sz w:val="20"/>
                <w:szCs w:val="20"/>
              </w:rPr>
              <w:t>Rating</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0CA392E9" w14:textId="77777777" w:rsidR="00D30E77" w:rsidRDefault="00000000">
            <w:r>
              <w:rPr>
                <w:b/>
                <w:bCs/>
                <w:color w:val="FFFFFF"/>
                <w:sz w:val="20"/>
                <w:szCs w:val="20"/>
              </w:rPr>
              <w:t>Criteria &amp; Rationale</w:t>
            </w:r>
          </w:p>
        </w:tc>
      </w:tr>
      <w:tr w:rsidR="00D30E77" w14:paraId="330686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29CA41C8" w14:textId="77777777" w:rsidR="00D30E77" w:rsidRDefault="00000000">
            <w:r>
              <w:rPr>
                <w:b/>
                <w:bCs/>
                <w:sz w:val="20"/>
                <w:szCs w:val="20"/>
              </w:rPr>
              <w:t>Revenue Cyclicality</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4F4A569E" w14:textId="77777777" w:rsidR="00D30E77" w:rsidRDefault="00000000">
            <w:pPr>
              <w:jc w:val="center"/>
            </w:pPr>
            <w:r>
              <w:rPr>
                <w:b/>
                <w:bCs/>
                <w:color w:val="375623"/>
                <w:sz w:val="18"/>
                <w:szCs w:val="18"/>
              </w:rPr>
              <w:t>LOW</w:t>
            </w:r>
          </w:p>
        </w:tc>
        <w:tc>
          <w:tcPr>
            <w:tcW w:w="5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71E9D7BE" w14:textId="77777777" w:rsidR="00D30E77" w:rsidRDefault="00000000">
            <w:r>
              <w:rPr>
                <w:sz w:val="19"/>
                <w:szCs w:val="19"/>
              </w:rPr>
              <w:t>Rail equipment demand driven by long-cycle public infrastructure investment, not consumer discretionary spending. €100B backlog provides 5+ years visibility regardless of macro conditions. EU Green Deal and climate commitments create structural tailwind.</w:t>
            </w:r>
          </w:p>
        </w:tc>
      </w:tr>
      <w:tr w:rsidR="00D30E77" w14:paraId="6A0D3892"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1C719DD7" w14:textId="77777777" w:rsidR="00D30E77" w:rsidRDefault="00000000">
            <w:r>
              <w:rPr>
                <w:b/>
                <w:bCs/>
                <w:sz w:val="20"/>
                <w:szCs w:val="20"/>
              </w:rPr>
              <w:t>Backlog Quality</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4DC0FFBF" w14:textId="77777777" w:rsidR="00D30E77" w:rsidRDefault="00000000">
            <w:pPr>
              <w:jc w:val="center"/>
            </w:pPr>
            <w:r>
              <w:rPr>
                <w:b/>
                <w:bCs/>
                <w:color w:val="375623"/>
                <w:sz w:val="18"/>
                <w:szCs w:val="18"/>
              </w:rPr>
              <w:t>POSITIVE</w:t>
            </w:r>
          </w:p>
        </w:tc>
        <w:tc>
          <w:tcPr>
            <w:tcW w:w="5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00201689" w14:textId="77777777" w:rsidR="00D30E77" w:rsidRDefault="00000000">
            <w:r>
              <w:rPr>
                <w:sz w:val="19"/>
                <w:szCs w:val="19"/>
              </w:rPr>
              <w:t>€100B+ backlog with gross margin 17.8% (+30bps YoY trend). Quality of new orders exceeds legacy Bombardier contracts being executed. Book-to-bill 1.1 in FY24/25, 1.4 in 9M FY25/26.</w:t>
            </w:r>
          </w:p>
        </w:tc>
      </w:tr>
      <w:tr w:rsidR="00D30E77" w14:paraId="2FB03C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184018BA" w14:textId="77777777" w:rsidR="00D30E77" w:rsidRDefault="00000000">
            <w:r>
              <w:rPr>
                <w:b/>
                <w:bCs/>
                <w:sz w:val="20"/>
                <w:szCs w:val="20"/>
              </w:rPr>
              <w:t>Project Execution Risk</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6E0157B5" w14:textId="77777777" w:rsidR="00D30E77" w:rsidRDefault="00000000">
            <w:pPr>
              <w:jc w:val="center"/>
            </w:pPr>
            <w:r>
              <w:rPr>
                <w:b/>
                <w:bCs/>
                <w:color w:val="7F6000"/>
                <w:sz w:val="18"/>
                <w:szCs w:val="18"/>
              </w:rPr>
              <w:t>MODERATE</w:t>
            </w:r>
          </w:p>
        </w:tc>
        <w:tc>
          <w:tcPr>
            <w:tcW w:w="5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448EA72D" w14:textId="77777777" w:rsidR="00D30E77" w:rsidRDefault="00000000">
            <w:r>
              <w:rPr>
                <w:sz w:val="19"/>
                <w:szCs w:val="19"/>
              </w:rPr>
              <w:t>Rolling stock projects facing supply chain delays (60-70% of project delays per management). Germany transformation plan critical. Long-cycle contracts mean execution errors compound for years.</w:t>
            </w:r>
          </w:p>
        </w:tc>
      </w:tr>
      <w:tr w:rsidR="00D30E77" w14:paraId="4B7CCDE4"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171CE4FA" w14:textId="77777777" w:rsidR="00D30E77" w:rsidRDefault="00000000">
            <w:r>
              <w:rPr>
                <w:b/>
                <w:bCs/>
                <w:sz w:val="20"/>
                <w:szCs w:val="20"/>
              </w:rPr>
              <w:t>Interest Rate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4A88FEBF" w14:textId="77777777" w:rsidR="00D30E77" w:rsidRDefault="00000000">
            <w:pPr>
              <w:jc w:val="center"/>
            </w:pPr>
            <w:r>
              <w:rPr>
                <w:b/>
                <w:bCs/>
                <w:color w:val="375623"/>
                <w:sz w:val="18"/>
                <w:szCs w:val="18"/>
              </w:rPr>
              <w:t>LOW</w:t>
            </w:r>
          </w:p>
        </w:tc>
        <w:tc>
          <w:tcPr>
            <w:tcW w:w="5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04A1BA82" w14:textId="77777777" w:rsidR="00D30E77" w:rsidRDefault="00000000">
            <w:r>
              <w:rPr>
                <w:sz w:val="19"/>
                <w:szCs w:val="19"/>
              </w:rPr>
              <w:t>ECB rates ~3.5% in early 2026. Net debt only €434M = minimal interest expense (~€20M/year on financial debt). Hybrid coupon and lease payments are largest cash outflows.</w:t>
            </w:r>
          </w:p>
        </w:tc>
      </w:tr>
      <w:tr w:rsidR="00D30E77" w14:paraId="51CA1E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0DF3744E" w14:textId="77777777" w:rsidR="00D30E77" w:rsidRDefault="00000000">
            <w:r>
              <w:rPr>
                <w:b/>
                <w:bCs/>
                <w:sz w:val="20"/>
                <w:szCs w:val="20"/>
              </w:rPr>
              <w:t>FX / Currency Risk</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4FC18AF5" w14:textId="77777777" w:rsidR="00D30E77" w:rsidRDefault="00000000">
            <w:pPr>
              <w:jc w:val="center"/>
            </w:pPr>
            <w:r>
              <w:rPr>
                <w:b/>
                <w:bCs/>
                <w:color w:val="7F6000"/>
                <w:sz w:val="18"/>
                <w:szCs w:val="18"/>
              </w:rPr>
              <w:t>MODERATE</w:t>
            </w:r>
          </w:p>
        </w:tc>
        <w:tc>
          <w:tcPr>
            <w:tcW w:w="5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4EFCC2CD" w14:textId="77777777" w:rsidR="00D30E77" w:rsidRDefault="00000000">
            <w:r>
              <w:rPr>
                <w:sz w:val="19"/>
                <w:szCs w:val="19"/>
              </w:rPr>
              <w:t>Multi-currency operations (EUR, USD, GBP, AUD, CAD). FY25/26 saw 3.3ppt adverse currency impact on reported sales. Natural hedging via local cost base limits structural exposure.</w:t>
            </w:r>
          </w:p>
        </w:tc>
      </w:tr>
      <w:tr w:rsidR="00D30E77" w14:paraId="3489D2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52048B2E" w14:textId="77777777" w:rsidR="00D30E77" w:rsidRDefault="00000000">
            <w:r>
              <w:rPr>
                <w:b/>
                <w:bCs/>
                <w:sz w:val="20"/>
                <w:szCs w:val="20"/>
              </w:rPr>
              <w:t>Customer Concentration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80" w:type="dxa"/>
              <w:bottom w:w="80" w:type="dxa"/>
              <w:right w:w="80" w:type="dxa"/>
            </w:tcMar>
          </w:tcPr>
          <w:p w14:paraId="135C3503" w14:textId="77777777" w:rsidR="00D30E77" w:rsidRDefault="00000000">
            <w:pPr>
              <w:jc w:val="center"/>
            </w:pPr>
            <w:r>
              <w:rPr>
                <w:b/>
                <w:bCs/>
                <w:color w:val="7F6000"/>
                <w:sz w:val="18"/>
                <w:szCs w:val="18"/>
              </w:rPr>
              <w:t>MODERATE</w:t>
            </w:r>
          </w:p>
        </w:tc>
        <w:tc>
          <w:tcPr>
            <w:tcW w:w="5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80" w:type="dxa"/>
            </w:tcMar>
          </w:tcPr>
          <w:p w14:paraId="536A6AA3" w14:textId="77777777" w:rsidR="00D30E77" w:rsidRDefault="00000000">
            <w:r>
              <w:rPr>
                <w:sz w:val="19"/>
                <w:szCs w:val="19"/>
              </w:rPr>
              <w:t>Public sector dominated — Deutsche Bahn (Germany), SNCF (France), Trenitalia (Italy), regional rail authorities. Concentration risk offset by extreme creditworthiness of these counterparties.</w:t>
            </w:r>
          </w:p>
        </w:tc>
      </w:tr>
      <w:tr w:rsidR="00D30E77" w14:paraId="08DB0969"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264BE03E" w14:textId="77777777" w:rsidR="00D30E77" w:rsidRDefault="00000000">
            <w:r>
              <w:rPr>
                <w:b/>
                <w:bCs/>
                <w:sz w:val="20"/>
                <w:szCs w:val="20"/>
              </w:rPr>
              <w:t>Regulatory / Policy Risk</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47E661BF" w14:textId="77777777" w:rsidR="00D30E77" w:rsidRDefault="00000000">
            <w:pPr>
              <w:jc w:val="center"/>
            </w:pPr>
            <w:r>
              <w:rPr>
                <w:b/>
                <w:bCs/>
                <w:color w:val="375623"/>
                <w:sz w:val="18"/>
                <w:szCs w:val="18"/>
              </w:rPr>
              <w:t>LOW-POSITIVE</w:t>
            </w:r>
          </w:p>
        </w:tc>
        <w:tc>
          <w:tcPr>
            <w:tcW w:w="5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6C40B134" w14:textId="77777777" w:rsidR="00D30E77" w:rsidRDefault="00000000">
            <w:r>
              <w:rPr>
                <w:sz w:val="19"/>
                <w:szCs w:val="19"/>
              </w:rPr>
              <w:t>EU Taxonomy-aligned sales 66% (+6ppt YoY). Strong policy tailwind from net-zero commitments. Risk only if European austerity returns and rail capex is deferred.</w:t>
            </w:r>
          </w:p>
        </w:tc>
      </w:tr>
      <w:tr w:rsidR="00D30E77" w14:paraId="410C0E2C"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5604BBD0" w14:textId="77777777" w:rsidR="00D30E77" w:rsidRDefault="00000000">
            <w:r>
              <w:rPr>
                <w:b/>
                <w:bCs/>
                <w:sz w:val="20"/>
                <w:szCs w:val="20"/>
              </w:rPr>
              <w:t>Working Capital / Liquidity Risk</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0EA5FD06" w14:textId="77777777" w:rsidR="00D30E77" w:rsidRDefault="00000000">
            <w:pPr>
              <w:jc w:val="center"/>
            </w:pPr>
            <w:r>
              <w:rPr>
                <w:b/>
                <w:bCs/>
                <w:color w:val="375623"/>
                <w:sz w:val="18"/>
                <w:szCs w:val="18"/>
              </w:rPr>
              <w:t>LOW</w:t>
            </w:r>
          </w:p>
        </w:tc>
        <w:tc>
          <w:tcPr>
            <w:tcW w:w="5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10E87638" w14:textId="77777777" w:rsidR="00D30E77" w:rsidRDefault="00000000">
            <w:r>
              <w:rPr>
                <w:sz w:val="19"/>
                <w:szCs w:val="19"/>
              </w:rPr>
              <w:t>€2.3B cash + €4.25B undrawn RCFs = €6.55B of immediate liquidity. Covers full year of operating costs. Downpayments on new orders ease WC burden.</w:t>
            </w:r>
          </w:p>
        </w:tc>
      </w:tr>
      <w:tr w:rsidR="00D30E77" w14:paraId="4870E811"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068880EF" w14:textId="77777777" w:rsidR="00D30E77" w:rsidRDefault="00000000">
            <w:r>
              <w:rPr>
                <w:b/>
                <w:bCs/>
                <w:sz w:val="20"/>
                <w:szCs w:val="20"/>
              </w:rPr>
              <w:t>M&amp;A Integration Risk</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3DC70739" w14:textId="77777777" w:rsidR="00D30E77" w:rsidRDefault="00000000">
            <w:pPr>
              <w:jc w:val="center"/>
            </w:pPr>
            <w:r>
              <w:rPr>
                <w:b/>
                <w:bCs/>
                <w:color w:val="375623"/>
                <w:sz w:val="18"/>
                <w:szCs w:val="18"/>
              </w:rPr>
              <w:t>WANING</w:t>
            </w:r>
          </w:p>
        </w:tc>
        <w:tc>
          <w:tcPr>
            <w:tcW w:w="5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176CEA9B" w14:textId="77777777" w:rsidR="00D30E77" w:rsidRDefault="00000000">
            <w:r>
              <w:rPr>
                <w:sz w:val="19"/>
                <w:szCs w:val="19"/>
              </w:rPr>
              <w:t>Bombardier integration declared COMPLETE by management in FY24/25. Legacy contracts being burned off. No further large M&amp;A planned. Risk now retrospective, not prospective.</w:t>
            </w:r>
          </w:p>
        </w:tc>
      </w:tr>
      <w:tr w:rsidR="00D30E77" w14:paraId="3FEB49CA" w14:textId="77777777">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2E83B103" w14:textId="77777777" w:rsidR="00D30E77" w:rsidRDefault="00000000">
            <w:r>
              <w:rPr>
                <w:b/>
                <w:bCs/>
                <w:sz w:val="20"/>
                <w:szCs w:val="20"/>
              </w:rPr>
              <w:t>Overall Market Risk</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80" w:type="dxa"/>
              <w:bottom w:w="80" w:type="dxa"/>
              <w:right w:w="80" w:type="dxa"/>
            </w:tcMar>
          </w:tcPr>
          <w:p w14:paraId="0D2A9BF5" w14:textId="77777777" w:rsidR="00D30E77" w:rsidRDefault="00000000">
            <w:pPr>
              <w:jc w:val="center"/>
            </w:pPr>
            <w:r>
              <w:rPr>
                <w:b/>
                <w:bCs/>
                <w:color w:val="375623"/>
                <w:sz w:val="18"/>
                <w:szCs w:val="18"/>
              </w:rPr>
              <w:t>LOW-MODERATE</w:t>
            </w:r>
          </w:p>
        </w:tc>
        <w:tc>
          <w:tcPr>
            <w:tcW w:w="59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80" w:type="dxa"/>
            </w:tcMar>
          </w:tcPr>
          <w:p w14:paraId="36ADADA4" w14:textId="77777777" w:rsidR="00D30E77" w:rsidRDefault="00000000">
            <w:r>
              <w:rPr>
                <w:sz w:val="19"/>
                <w:szCs w:val="19"/>
              </w:rPr>
              <w:t>Successfully recovered from M&amp;A integration stress. Investment grade restored. Strong backlog visibility, defensive sector exposure, and improving margins. Primary risk now is operational execution.</w:t>
            </w:r>
          </w:p>
        </w:tc>
      </w:tr>
    </w:tbl>
    <w:p w14:paraId="407AA2B9" w14:textId="77777777" w:rsidR="00D30E77" w:rsidRDefault="00D30E77">
      <w:pPr>
        <w:spacing w:before="100"/>
      </w:pPr>
    </w:p>
    <w:p w14:paraId="3BC172F7" w14:textId="77777777" w:rsidR="00D30E77" w:rsidRDefault="00000000">
      <w:pPr>
        <w:pStyle w:val="Heading2"/>
        <w:pBdr>
          <w:bottom w:val="single" w:sz="4" w:space="1" w:color="2E5FA3"/>
        </w:pBdr>
      </w:pPr>
      <w:r>
        <w:lastRenderedPageBreak/>
        <w:t>Where to Find the Data — Alstom Specific Sources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6591"/>
      </w:tblGrid>
      <w:tr w:rsidR="0066456C" w14:paraId="0F409FA6" w14:textId="77777777" w:rsidTr="0066456C">
        <w:tc>
          <w:tcPr>
            <w:tcW w:w="27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07644CD1" w14:textId="77777777" w:rsidR="0066456C" w:rsidRDefault="0066456C">
            <w:r>
              <w:rPr>
                <w:b/>
                <w:bCs/>
                <w:color w:val="FFFFFF"/>
                <w:sz w:val="20"/>
                <w:szCs w:val="20"/>
              </w:rPr>
              <w:t>KPI / Metric</w:t>
            </w:r>
          </w:p>
        </w:tc>
        <w:tc>
          <w:tcPr>
            <w:tcW w:w="65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80" w:type="dxa"/>
            </w:tcMar>
          </w:tcPr>
          <w:p w14:paraId="2DE3B4A9" w14:textId="77777777" w:rsidR="0066456C" w:rsidRDefault="0066456C">
            <w:r>
              <w:rPr>
                <w:b/>
                <w:bCs/>
                <w:color w:val="FFFFFF"/>
                <w:sz w:val="20"/>
                <w:szCs w:val="20"/>
              </w:rPr>
              <w:t>Description</w:t>
            </w:r>
          </w:p>
        </w:tc>
      </w:tr>
      <w:tr w:rsidR="0066456C" w14:paraId="18896301" w14:textId="77777777" w:rsidTr="0066456C">
        <w:tc>
          <w:tcPr>
            <w:tcW w:w="276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3D395EB9" w14:textId="77777777" w:rsidR="0066456C" w:rsidRDefault="0066456C">
            <w:r>
              <w:rPr>
                <w:b/>
                <w:bCs/>
                <w:sz w:val="20"/>
                <w:szCs w:val="20"/>
              </w:rPr>
              <w:t>Alstom IR Website</w:t>
            </w:r>
          </w:p>
        </w:tc>
        <w:tc>
          <w:tcPr>
            <w:tcW w:w="659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CF3BA9E" w14:textId="77777777" w:rsidR="0066456C" w:rsidRDefault="0066456C">
            <w:pPr>
              <w:jc w:val="center"/>
            </w:pPr>
            <w:r>
              <w:rPr>
                <w:sz w:val="20"/>
                <w:szCs w:val="20"/>
              </w:rPr>
              <w:t>alstom.com/finance — Annual Financial Reports, Half-Year Reports, Quarterly Press Releases. Full audited financials with detailed segmental breakdown. Primary source.</w:t>
            </w:r>
          </w:p>
        </w:tc>
      </w:tr>
      <w:tr w:rsidR="0066456C" w14:paraId="11E99DAA" w14:textId="77777777" w:rsidTr="0066456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9A7CD17" w14:textId="77777777" w:rsidR="0066456C" w:rsidRDefault="0066456C">
            <w:r>
              <w:rPr>
                <w:b/>
                <w:bCs/>
                <w:sz w:val="20"/>
                <w:szCs w:val="20"/>
              </w:rPr>
              <w:t>AMF (French Regulator)</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73E03E" w14:textId="77777777" w:rsidR="0066456C" w:rsidRDefault="0066456C">
            <w:pPr>
              <w:jc w:val="center"/>
            </w:pPr>
            <w:r>
              <w:rPr>
                <w:sz w:val="20"/>
                <w:szCs w:val="20"/>
              </w:rPr>
              <w:t>amf-france.org — French equivalent of CVM. Universal Registration Document (URD) filed annually, equivalent to a 20-F or annual report.</w:t>
            </w:r>
          </w:p>
        </w:tc>
      </w:tr>
      <w:tr w:rsidR="0066456C" w14:paraId="7F96E1E2" w14:textId="77777777" w:rsidTr="0066456C">
        <w:tc>
          <w:tcPr>
            <w:tcW w:w="276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4A523EC6" w14:textId="77777777" w:rsidR="0066456C" w:rsidRDefault="0066456C">
            <w:r>
              <w:rPr>
                <w:b/>
                <w:bCs/>
                <w:sz w:val="20"/>
                <w:szCs w:val="20"/>
              </w:rPr>
              <w:t>Euronext Paris (ALO)</w:t>
            </w:r>
          </w:p>
        </w:tc>
        <w:tc>
          <w:tcPr>
            <w:tcW w:w="659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503F1EBA" w14:textId="77777777" w:rsidR="0066456C" w:rsidRDefault="0066456C">
            <w:pPr>
              <w:jc w:val="center"/>
            </w:pPr>
            <w:r>
              <w:rPr>
                <w:sz w:val="20"/>
                <w:szCs w:val="20"/>
              </w:rPr>
              <w:t>euronext.com — Material announcements, capital structure changes, regulatory filings. Real-time market data.</w:t>
            </w:r>
          </w:p>
        </w:tc>
      </w:tr>
      <w:tr w:rsidR="0066456C" w14:paraId="66AC8F73" w14:textId="77777777" w:rsidTr="0066456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A64A1BF" w14:textId="77777777" w:rsidR="0066456C" w:rsidRDefault="0066456C">
            <w:r>
              <w:rPr>
                <w:b/>
                <w:bCs/>
                <w:sz w:val="20"/>
                <w:szCs w:val="20"/>
              </w:rPr>
              <w:t>Moody's Rating Reports</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19E05F5" w14:textId="77777777" w:rsidR="0066456C" w:rsidRDefault="0066456C">
            <w:pPr>
              <w:jc w:val="center"/>
            </w:pPr>
            <w:r>
              <w:rPr>
                <w:sz w:val="20"/>
                <w:szCs w:val="20"/>
              </w:rPr>
              <w:t>Rating action commentaries on Alstom Baa3. Updates after major events (May 2024, June 2024, May 2025). Detailed credit drivers.</w:t>
            </w:r>
          </w:p>
        </w:tc>
      </w:tr>
      <w:tr w:rsidR="0066456C" w14:paraId="2776D459" w14:textId="77777777" w:rsidTr="0066456C">
        <w:tc>
          <w:tcPr>
            <w:tcW w:w="276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05082551" w14:textId="77777777" w:rsidR="0066456C" w:rsidRDefault="0066456C">
            <w:r>
              <w:rPr>
                <w:b/>
                <w:bCs/>
                <w:sz w:val="20"/>
                <w:szCs w:val="20"/>
              </w:rPr>
              <w:t>Conference Call Transcripts</w:t>
            </w:r>
          </w:p>
        </w:tc>
        <w:tc>
          <w:tcPr>
            <w:tcW w:w="659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80" w:type="dxa"/>
            </w:tcMar>
          </w:tcPr>
          <w:p w14:paraId="248C558A" w14:textId="77777777" w:rsidR="0066456C" w:rsidRDefault="0066456C">
            <w:pPr>
              <w:jc w:val="center"/>
            </w:pPr>
            <w:r>
              <w:rPr>
                <w:sz w:val="20"/>
                <w:szCs w:val="20"/>
              </w:rPr>
              <w:t>Half-year and full-year results presented by CEO (Martin Sion since April 2026, previously Henri Poupart-Lafarge) and CFO. Detailed Q&amp;A with sell-side analysts.</w:t>
            </w:r>
          </w:p>
        </w:tc>
      </w:tr>
      <w:tr w:rsidR="0066456C" w14:paraId="27B559EB" w14:textId="77777777" w:rsidTr="0066456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BD2005" w14:textId="77777777" w:rsidR="0066456C" w:rsidRDefault="0066456C">
            <w:r>
              <w:rPr>
                <w:b/>
                <w:bCs/>
                <w:sz w:val="20"/>
                <w:szCs w:val="20"/>
              </w:rPr>
              <w:t>EU Public Procurement</w:t>
            </w:r>
          </w:p>
        </w:tc>
        <w:tc>
          <w:tcPr>
            <w:tcW w:w="65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6821072" w14:textId="77777777" w:rsidR="0066456C" w:rsidRDefault="0066456C">
            <w:pPr>
              <w:jc w:val="center"/>
            </w:pPr>
            <w:r>
              <w:rPr>
                <w:sz w:val="20"/>
                <w:szCs w:val="20"/>
              </w:rPr>
              <w:t>ted.europa.eu — European public tender database. Tracks major rail contract awards before company announcement.</w:t>
            </w:r>
          </w:p>
        </w:tc>
      </w:tr>
    </w:tbl>
    <w:p w14:paraId="6902A65E" w14:textId="77777777" w:rsidR="00D30E77" w:rsidRDefault="00D30E77">
      <w:pPr>
        <w:spacing w:before="60"/>
      </w:pPr>
    </w:p>
    <w:sectPr w:rsidR="00D30E77">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7FB5" w14:textId="77777777" w:rsidR="0057098C" w:rsidRDefault="0057098C">
      <w:r>
        <w:separator/>
      </w:r>
    </w:p>
  </w:endnote>
  <w:endnote w:type="continuationSeparator" w:id="0">
    <w:p w14:paraId="30D256FF" w14:textId="77777777" w:rsidR="0057098C" w:rsidRDefault="00570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CCBC" w14:textId="77777777" w:rsidR="00D30E77" w:rsidRDefault="00000000">
    <w:pPr>
      <w:pBdr>
        <w:top w:val="single" w:sz="4" w:space="1" w:color="2E5FA3"/>
      </w:pBdr>
      <w:spacing w:before="80"/>
      <w:jc w:val="center"/>
    </w:pPr>
    <w:r>
      <w:rPr>
        <w:color w:val="666666"/>
        <w:sz w:val="18"/>
        <w:szCs w:val="18"/>
      </w:rPr>
      <w:t xml:space="preserve">Alstom SA — Credit Analysis  |  Itaú Bank Capstone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514D1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CE04" w14:textId="77777777" w:rsidR="0057098C" w:rsidRDefault="0057098C">
      <w:r>
        <w:separator/>
      </w:r>
    </w:p>
  </w:footnote>
  <w:footnote w:type="continuationSeparator" w:id="0">
    <w:p w14:paraId="45886C9A" w14:textId="77777777" w:rsidR="0057098C" w:rsidRDefault="005709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25494"/>
    <w:multiLevelType w:val="hybridMultilevel"/>
    <w:tmpl w:val="DD8E3808"/>
    <w:lvl w:ilvl="0" w:tplc="D4F081CC">
      <w:start w:val="1"/>
      <w:numFmt w:val="bullet"/>
      <w:lvlText w:val="–"/>
      <w:lvlJc w:val="left"/>
      <w:pPr>
        <w:ind w:left="1080" w:hanging="360"/>
      </w:pPr>
    </w:lvl>
    <w:lvl w:ilvl="1" w:tplc="CE74EEFC">
      <w:numFmt w:val="decimal"/>
      <w:lvlText w:val=""/>
      <w:lvlJc w:val="left"/>
    </w:lvl>
    <w:lvl w:ilvl="2" w:tplc="F118B3F8">
      <w:numFmt w:val="decimal"/>
      <w:lvlText w:val=""/>
      <w:lvlJc w:val="left"/>
    </w:lvl>
    <w:lvl w:ilvl="3" w:tplc="A9746DD0">
      <w:numFmt w:val="decimal"/>
      <w:lvlText w:val=""/>
      <w:lvlJc w:val="left"/>
    </w:lvl>
    <w:lvl w:ilvl="4" w:tplc="53FA02E2">
      <w:numFmt w:val="decimal"/>
      <w:lvlText w:val=""/>
      <w:lvlJc w:val="left"/>
    </w:lvl>
    <w:lvl w:ilvl="5" w:tplc="193A299C">
      <w:numFmt w:val="decimal"/>
      <w:lvlText w:val=""/>
      <w:lvlJc w:val="left"/>
    </w:lvl>
    <w:lvl w:ilvl="6" w:tplc="AA62221A">
      <w:numFmt w:val="decimal"/>
      <w:lvlText w:val=""/>
      <w:lvlJc w:val="left"/>
    </w:lvl>
    <w:lvl w:ilvl="7" w:tplc="92FE9ABE">
      <w:numFmt w:val="decimal"/>
      <w:lvlText w:val=""/>
      <w:lvlJc w:val="left"/>
    </w:lvl>
    <w:lvl w:ilvl="8" w:tplc="FA6202EC">
      <w:numFmt w:val="decimal"/>
      <w:lvlText w:val=""/>
      <w:lvlJc w:val="left"/>
    </w:lvl>
  </w:abstractNum>
  <w:abstractNum w:abstractNumId="1" w15:restartNumberingAfterBreak="0">
    <w:nsid w:val="5EE07057"/>
    <w:multiLevelType w:val="hybridMultilevel"/>
    <w:tmpl w:val="20B87C7A"/>
    <w:lvl w:ilvl="0" w:tplc="BF0CC0CC">
      <w:start w:val="1"/>
      <w:numFmt w:val="bullet"/>
      <w:lvlText w:val="•"/>
      <w:lvlJc w:val="left"/>
      <w:pPr>
        <w:ind w:left="720" w:hanging="360"/>
      </w:pPr>
    </w:lvl>
    <w:lvl w:ilvl="1" w:tplc="05283AA2">
      <w:numFmt w:val="decimal"/>
      <w:lvlText w:val=""/>
      <w:lvlJc w:val="left"/>
    </w:lvl>
    <w:lvl w:ilvl="2" w:tplc="C4D6EECA">
      <w:numFmt w:val="decimal"/>
      <w:lvlText w:val=""/>
      <w:lvlJc w:val="left"/>
    </w:lvl>
    <w:lvl w:ilvl="3" w:tplc="7BBE88F8">
      <w:numFmt w:val="decimal"/>
      <w:lvlText w:val=""/>
      <w:lvlJc w:val="left"/>
    </w:lvl>
    <w:lvl w:ilvl="4" w:tplc="3836F140">
      <w:numFmt w:val="decimal"/>
      <w:lvlText w:val=""/>
      <w:lvlJc w:val="left"/>
    </w:lvl>
    <w:lvl w:ilvl="5" w:tplc="CAF48180">
      <w:numFmt w:val="decimal"/>
      <w:lvlText w:val=""/>
      <w:lvlJc w:val="left"/>
    </w:lvl>
    <w:lvl w:ilvl="6" w:tplc="B26C4C1A">
      <w:numFmt w:val="decimal"/>
      <w:lvlText w:val=""/>
      <w:lvlJc w:val="left"/>
    </w:lvl>
    <w:lvl w:ilvl="7" w:tplc="DFA0A022">
      <w:numFmt w:val="decimal"/>
      <w:lvlText w:val=""/>
      <w:lvlJc w:val="left"/>
    </w:lvl>
    <w:lvl w:ilvl="8" w:tplc="B5F27E88">
      <w:numFmt w:val="decimal"/>
      <w:lvlText w:val=""/>
      <w:lvlJc w:val="left"/>
    </w:lvl>
  </w:abstractNum>
  <w:abstractNum w:abstractNumId="2" w15:restartNumberingAfterBreak="0">
    <w:nsid w:val="67AD294D"/>
    <w:multiLevelType w:val="hybridMultilevel"/>
    <w:tmpl w:val="3C2A7F1E"/>
    <w:lvl w:ilvl="0" w:tplc="FEEE9978">
      <w:start w:val="1"/>
      <w:numFmt w:val="bullet"/>
      <w:lvlText w:val="●"/>
      <w:lvlJc w:val="left"/>
      <w:pPr>
        <w:ind w:left="720" w:hanging="360"/>
      </w:pPr>
    </w:lvl>
    <w:lvl w:ilvl="1" w:tplc="1E66B7AE">
      <w:start w:val="1"/>
      <w:numFmt w:val="bullet"/>
      <w:lvlText w:val="○"/>
      <w:lvlJc w:val="left"/>
      <w:pPr>
        <w:ind w:left="1440" w:hanging="360"/>
      </w:pPr>
    </w:lvl>
    <w:lvl w:ilvl="2" w:tplc="22E64E5A">
      <w:start w:val="1"/>
      <w:numFmt w:val="bullet"/>
      <w:lvlText w:val="■"/>
      <w:lvlJc w:val="left"/>
      <w:pPr>
        <w:ind w:left="2160" w:hanging="360"/>
      </w:pPr>
    </w:lvl>
    <w:lvl w:ilvl="3" w:tplc="3A729DE6">
      <w:start w:val="1"/>
      <w:numFmt w:val="bullet"/>
      <w:lvlText w:val="●"/>
      <w:lvlJc w:val="left"/>
      <w:pPr>
        <w:ind w:left="2880" w:hanging="360"/>
      </w:pPr>
    </w:lvl>
    <w:lvl w:ilvl="4" w:tplc="26FC03C2">
      <w:start w:val="1"/>
      <w:numFmt w:val="bullet"/>
      <w:lvlText w:val="○"/>
      <w:lvlJc w:val="left"/>
      <w:pPr>
        <w:ind w:left="3600" w:hanging="360"/>
      </w:pPr>
    </w:lvl>
    <w:lvl w:ilvl="5" w:tplc="9170FCF6">
      <w:start w:val="1"/>
      <w:numFmt w:val="bullet"/>
      <w:lvlText w:val="■"/>
      <w:lvlJc w:val="left"/>
      <w:pPr>
        <w:ind w:left="4320" w:hanging="360"/>
      </w:pPr>
    </w:lvl>
    <w:lvl w:ilvl="6" w:tplc="37BA288C">
      <w:start w:val="1"/>
      <w:numFmt w:val="bullet"/>
      <w:lvlText w:val="●"/>
      <w:lvlJc w:val="left"/>
      <w:pPr>
        <w:ind w:left="5040" w:hanging="360"/>
      </w:pPr>
    </w:lvl>
    <w:lvl w:ilvl="7" w:tplc="07D4953A">
      <w:start w:val="1"/>
      <w:numFmt w:val="bullet"/>
      <w:lvlText w:val="●"/>
      <w:lvlJc w:val="left"/>
      <w:pPr>
        <w:ind w:left="5760" w:hanging="360"/>
      </w:pPr>
    </w:lvl>
    <w:lvl w:ilvl="8" w:tplc="52FCF20C">
      <w:start w:val="1"/>
      <w:numFmt w:val="bullet"/>
      <w:lvlText w:val="●"/>
      <w:lvlJc w:val="left"/>
      <w:pPr>
        <w:ind w:left="6480" w:hanging="360"/>
      </w:pPr>
    </w:lvl>
  </w:abstractNum>
  <w:num w:numId="1" w16cid:durableId="1571227581">
    <w:abstractNumId w:val="2"/>
    <w:lvlOverride w:ilvl="0">
      <w:startOverride w:val="1"/>
    </w:lvlOverride>
  </w:num>
  <w:num w:numId="2" w16cid:durableId="3469484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E77"/>
    <w:rsid w:val="00122AE3"/>
    <w:rsid w:val="003A19ED"/>
    <w:rsid w:val="00514D1C"/>
    <w:rsid w:val="0057098C"/>
    <w:rsid w:val="0066456C"/>
    <w:rsid w:val="00D30E77"/>
    <w:rsid w:val="00DE0347"/>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CCDB56B"/>
  <w15:docId w15:val="{AF46348A-497E-CE4D-BF9F-3F2D8AF12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80"/>
      <w:outlineLvl w:val="0"/>
    </w:pPr>
    <w:rPr>
      <w:b/>
      <w:bCs/>
      <w:color w:val="FFFFFF"/>
      <w:sz w:val="32"/>
      <w:szCs w:val="32"/>
    </w:rPr>
  </w:style>
  <w:style w:type="paragraph" w:styleId="Heading2">
    <w:name w:val="heading 2"/>
    <w:uiPriority w:val="9"/>
    <w:unhideWhenUsed/>
    <w:qFormat/>
    <w:pPr>
      <w:spacing w:before="280" w:after="80"/>
      <w:outlineLvl w:val="1"/>
    </w:pPr>
    <w:rPr>
      <w:b/>
      <w:bCs/>
      <w:color w:val="1F3864"/>
      <w:sz w:val="28"/>
      <w:szCs w:val="28"/>
    </w:rPr>
  </w:style>
  <w:style w:type="paragraph" w:styleId="Heading3">
    <w:name w:val="heading 3"/>
    <w:uiPriority w:val="9"/>
    <w:unhideWhenUsed/>
    <w:qFormat/>
    <w:pPr>
      <w:spacing w:before="200" w:after="60"/>
      <w:outlineLvl w:val="2"/>
    </w:pPr>
    <w:rPr>
      <w:b/>
      <w:bCs/>
      <w:color w:val="2E5F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456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645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16</Pages>
  <Words>5140</Words>
  <Characters>29304</Characters>
  <Application>Microsoft Office Word</Application>
  <DocSecurity>0</DocSecurity>
  <Lines>244</Lines>
  <Paragraphs>68</Paragraphs>
  <ScaleCrop>false</ScaleCrop>
  <Company/>
  <LinksUpToDate>false</LinksUpToDate>
  <CharactersWithSpaces>34376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Jérémie Taranto (Student at CentraleSupelec)</cp:lastModifiedBy>
  <cp:revision>3</cp:revision>
  <dcterms:created xsi:type="dcterms:W3CDTF">2026-06-05T12:48:00Z</dcterms:created>
  <dcterms:modified xsi:type="dcterms:W3CDTF">2026-06-05T16:37:00Z</dcterms:modified>
</cp:coreProperties>
</file>