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1" w:name="X98b962272690a645d1c45c367cb8b9da0b5aada"/>
    <w:p>
      <w:pPr>
        <w:pStyle w:val="Heading2"/>
      </w:pPr>
      <w:r>
        <w:t xml:space="preserve">Question 7 — A Second Major Cause of Change in Convergence State</w:t>
      </w:r>
    </w:p>
    <w:bookmarkStart w:id="20" w:name="X2daf8b677fefcf4816aa392f8967f28769581f2"/>
    <w:p>
      <w:pPr>
        <w:pStyle w:val="Heading3"/>
      </w:pPr>
      <w:r>
        <w:t xml:space="preserve">Cause: The size of the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(Independent) bloc</w:t>
      </w:r>
    </w:p>
    <w:p>
      <w:pPr>
        <w:pStyle w:val="FirstParagraph"/>
      </w:pPr>
      <w:r>
        <w:t xml:space="preserve">In the specific case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is relatively small and</w:t>
      </w:r>
      <w:r>
        <w:t xml:space="preserve"> </w:t>
      </w:r>
      <w:r>
        <w:t xml:space="preserve">the X vs. Y gap is</w:t>
      </w:r>
      <w:r>
        <w:t xml:space="preserve"> </w:t>
      </w:r>
      <m:oMath>
        <m:r>
          <m:t>0.4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— a comfortable margin.</w:t>
      </w:r>
      <w:r>
        <w:t xml:space="preserve"> </w:t>
      </w:r>
      <w:r>
        <w:t xml:space="preserve">But consider an election where the starting distribution is</w:t>
      </w:r>
      <w:r>
        <w:t xml:space="preserve"> </w:t>
      </w:r>
      <m:oMath>
        <m:r>
          <m:rPr>
            <m:sty m:val="p"/>
          </m:rPr>
          <m:t>(</m:t>
        </m:r>
        <m:r>
          <m:t>0.32</m:t>
        </m:r>
        <m:r>
          <m:rPr>
            <m:sty m:val="p"/>
          </m:rPr>
          <m:t>,</m:t>
        </m:r>
        <m:r>
          <m:t>0.31</m:t>
        </m:r>
        <m:r>
          <m:rPr>
            <m:sty m:val="p"/>
          </m:rPr>
          <m:t>,</m:t>
        </m:r>
        <m:r>
          <m:t>0.37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now large and the X–Y gap is only</w:t>
      </w:r>
      <w:r>
        <w:t xml:space="preserve"> </w:t>
      </w:r>
      <m:oMath>
        <m:r>
          <m:t>0.01</m:t>
        </m:r>
      </m:oMath>
      <w:r>
        <w:t xml:space="preserve">.</w:t>
      </w:r>
      <w:r>
        <w:t xml:space="preserve"> </w:t>
      </w:r>
      <w:r>
        <w:t xml:space="preserve">An insignificant external event that moves just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from X to Y flips</w:t>
      </w:r>
      <w:r>
        <w:t xml:space="preserve"> </w:t>
      </w:r>
      <w:r>
        <w:t xml:space="preserve">the outcome to Y winning.</w:t>
      </w:r>
    </w:p>
    <w:p>
      <w:pPr>
        <w:pStyle w:val="BodyText"/>
      </w:pPr>
      <w:r>
        <w:t xml:space="preserve">A large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bloc makes the election</w:t>
      </w:r>
      <w:r>
        <w:t xml:space="preserve"> </w:t>
      </w:r>
      <w:r>
        <w:rPr>
          <w:bCs/>
          <w:b/>
        </w:rPr>
        <w:t xml:space="preserve">hyper-sensitive</w:t>
      </w:r>
      <w:r>
        <w:t xml:space="preserve"> </w:t>
      </w:r>
      <w:r>
        <w:t xml:space="preserve">to small differences</w:t>
      </w:r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Both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small relative to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, so they are close together.</w:t>
      </w:r>
    </w:p>
    <w:p>
      <w:pPr>
        <w:numPr>
          <w:ilvl w:val="0"/>
          <w:numId w:val="1001"/>
        </w:numPr>
        <w:pStyle w:val="Compact"/>
      </w:pPr>
      <w:r>
        <w:t xml:space="preserve">Any small alignment of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voters toward X or Y tips the balance decisively.</w:t>
      </w:r>
    </w:p>
    <w:p>
      <w:pPr>
        <w:numPr>
          <w:ilvl w:val="0"/>
          <w:numId w:val="1001"/>
        </w:numPr>
        <w:pStyle w:val="Compact"/>
      </w:pPr>
      <w:r>
        <w:t xml:space="preserve">This amplifies election-to-election volatility — the same model that gave</w:t>
      </w:r>
      <w:r>
        <w:t xml:space="preserve"> </w:t>
      </w:r>
      <w:r>
        <w:t xml:space="preserve">X a comfortable win at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 </w:t>
      </w:r>
      <w:r>
        <w:t xml:space="preserve">can give Y a win at</w:t>
      </w:r>
      <w:r>
        <w:t xml:space="preserve"> </w:t>
      </w:r>
      <m:oMath>
        <m:r>
          <m:rPr>
            <m:sty m:val="p"/>
          </m:rPr>
          <m:t>(</m:t>
        </m:r>
        <m:r>
          <m:t>0.32</m:t>
        </m:r>
        <m:r>
          <m:rPr>
            <m:sty m:val="p"/>
          </m:rPr>
          <m:t>,</m:t>
        </m:r>
        <m:r>
          <m:t>0.31</m:t>
        </m:r>
        <m:r>
          <m:rPr>
            <m:sty m:val="p"/>
          </m:rPr>
          <m:t>,</m:t>
        </m:r>
        <m:r>
          <m:t>0.37</m:t>
        </m:r>
        <m:r>
          <m:rPr>
            <m:sty m:val="p"/>
          </m:rPr>
          <m:t>)</m:t>
        </m:r>
      </m:oMath>
      <w:r>
        <w:t xml:space="preserve"> </w:t>
      </w:r>
      <w:r>
        <w:t xml:space="preserve">simply because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grew at the expense of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High levels of electoral independence (large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) therefore correspond to</w:t>
      </w:r>
      <w:r>
        <w:t xml:space="preserve"> </w:t>
      </w:r>
      <w:r>
        <w:t xml:space="preserve">more competitive and unpredictable elections — consistent with observed</w:t>
      </w:r>
      <w:r>
        <w:t xml:space="preserve"> </w:t>
      </w:r>
      <w:r>
        <w:t xml:space="preserve">patterns in periods of political dealignment.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2026-07-03T19:22:50Z</dcterms:created>
  <dcterms:modified xsi:type="dcterms:W3CDTF">2026-07-03T19:22:50Z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