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e118fc4391030de8eef18e4504104d1c1d2aa08"/>
    <w:p>
      <w:pPr>
        <w:pStyle w:val="Heading1"/>
      </w:pPr>
      <w:r>
        <w:t xml:space="preserve">Exercise 14.1 — Equilibrium of</w:t>
      </w:r>
      <w:r>
        <w:t xml:space="preserve"> </w:t>
      </w:r>
      <m:oMath>
        <m:r>
          <m:rPr>
            <m:sty m:val="p"/>
          </m:rPr>
          <m:t>∂</m:t>
        </m:r>
        <m:r>
          <m:t>c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t</m:t>
        </m:r>
        <m:r>
          <m:rPr>
            <m:sty m:val="p"/>
          </m:rPr>
          <m:t>=</m:t>
        </m:r>
        <m:r>
          <m:t>D</m:t>
        </m:r>
        <m:sSup>
          <m:e>
            <m:r>
              <m:rPr>
                <m:sty m:val="p"/>
              </m:rPr>
              <m:t>∇</m:t>
            </m:r>
          </m:e>
          <m:sup>
            <m:r>
              <m:t>2</m:t>
            </m:r>
          </m:sup>
        </m:sSup>
        <m:r>
          <m:t>c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</w:p>
    <w:bookmarkStart w:id="20" w:name="setting-up-the-equilibrium-condition"/>
    <w:p>
      <w:pPr>
        <w:pStyle w:val="Heading2"/>
      </w:pPr>
      <w:r>
        <w:t xml:space="preserve">Setting Up the Equilibrium Condition</w:t>
      </w:r>
    </w:p>
    <w:p>
      <w:pPr>
        <w:pStyle w:val="FirstParagraph"/>
      </w:pPr>
      <w:r>
        <w:t xml:space="preserve">At equilibrium</w:t>
      </w:r>
      <w:r>
        <w:t xml:space="preserve"> </w:t>
      </w:r>
      <m:oMath>
        <m:r>
          <m:rPr>
            <m:sty m:val="p"/>
          </m:rPr>
          <m:t>∂</m:t>
        </m:r>
        <m:r>
          <m:t>c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 In 1D,</w:t>
      </w:r>
      <w:r>
        <w:t xml:space="preserve"> </w:t>
      </w:r>
      <m:oMath>
        <m:sSup>
          <m:e>
            <m:r>
              <m:rPr>
                <m:sty m:val="p"/>
              </m:rPr>
              <m:t>∇</m:t>
            </m:r>
          </m:e>
          <m:sup>
            <m:r>
              <m:t>2</m:t>
            </m:r>
          </m:sup>
        </m:sSup>
        <m:r>
          <m:t>c</m:t>
        </m:r>
        <m:r>
          <m:rPr>
            <m:sty m:val="p"/>
          </m:rPr>
          <m:t>=</m:t>
        </m:r>
        <m:sSup>
          <m:e>
            <m:r>
              <m:t>d</m:t>
            </m:r>
          </m:e>
          <m:sup>
            <m:r>
              <m:t>2</m:t>
            </m:r>
          </m:sup>
        </m:sSup>
        <m:r>
          <m:t>c</m:t>
        </m:r>
        <m:r>
          <m:rPr>
            <m:sty m:val="p"/>
          </m:rPr>
          <m:t>/</m:t>
        </m:r>
        <m:r>
          <m:t>d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so the PDE becomes: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t>c</m:t>
              </m:r>
            </m:num>
            <m:den>
              <m:r>
                <m:t>d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t>c</m:t>
              </m:r>
            </m:num>
            <m:den>
              <m:r>
                <m:t>d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D</m:t>
              </m:r>
            </m:den>
          </m:f>
        </m:oMath>
      </m:oMathPara>
    </w:p>
    <w:bookmarkEnd w:id="20"/>
    <w:bookmarkStart w:id="21" w:name="solving-by-direct-integration"/>
    <w:p>
      <w:pPr>
        <w:pStyle w:val="Heading2"/>
      </w:pPr>
      <w:r>
        <w:t xml:space="preserve">Solving by Direct Integration</w:t>
      </w:r>
    </w:p>
    <w:p>
      <w:pPr>
        <w:pStyle w:val="FirstParagraph"/>
      </w:pPr>
      <w:r>
        <w:rPr>
          <w:bCs/>
          <w:b/>
        </w:rPr>
        <w:t xml:space="preserve">First integration: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c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D</m:t>
              </m:r>
            </m:den>
          </m:f>
          <m:d>
            <m:dPr>
              <m:begChr m:val="("/>
              <m:endChr m:val=")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</m:e>
          </m:d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rPr>
          <w:bCs/>
          <w:b/>
        </w:rPr>
        <w:t xml:space="preserve">Second integration: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c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D</m:t>
              </m:r>
            </m:den>
          </m:f>
          <m:d>
            <m:dPr>
              <m:begChr m:val="("/>
              <m:endChr m:val=")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12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fixed by the boundary conditions on the domain.</w:t>
      </w:r>
    </w:p>
    <w:bookmarkEnd w:id="21"/>
    <w:bookmarkStart w:id="22" w:name="interpretation"/>
    <w:p>
      <w:pPr>
        <w:pStyle w:val="Heading2"/>
      </w:pPr>
      <w:r>
        <w:t xml:space="preserve">Interpretation</w:t>
      </w:r>
    </w:p>
    <w:p>
      <w:pPr>
        <w:pStyle w:val="FirstParagraph"/>
      </w:pPr>
      <w:r>
        <w:t xml:space="preserve">The equilibrium is a</w:t>
      </w:r>
      <w:r>
        <w:t xml:space="preserve"> </w:t>
      </w:r>
      <w:r>
        <w:rPr>
          <w:bCs/>
          <w:b/>
        </w:rPr>
        <w:t xml:space="preserve">family of quartic curves</w:t>
      </w:r>
      <w:r>
        <w:t xml:space="preserve"> </w:t>
      </w:r>
      <w:r>
        <w:t xml:space="preserve">parameterized by two constants. The shape is driven entirely by the source term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01"/>
        </w:numPr>
        <w:pStyle w:val="Compact"/>
      </w:pPr>
      <w:r>
        <w:t xml:space="preserve">The source is</w:t>
      </w:r>
      <w:r>
        <w:t xml:space="preserve"> </w:t>
      </w:r>
      <w:r>
        <w:rPr>
          <w:bCs/>
          <w:b/>
        </w:rPr>
        <w:t xml:space="preserve">positive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(net production of</w:t>
      </w:r>
      <w:r>
        <w:t xml:space="preserve"> </w:t>
      </w:r>
      <m:oMath>
        <m:r>
          <m:t>c</m:t>
        </m:r>
      </m:oMath>
      <w:r>
        <w:t xml:space="preserve">) and</w:t>
      </w:r>
      <w:r>
        <w:t xml:space="preserve"> </w:t>
      </w:r>
      <w:r>
        <w:rPr>
          <w:bCs/>
          <w:b/>
        </w:rPr>
        <w:t xml:space="preserve">negative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(net decay). At equilibrium, diffusion transports the excess from the production region and spreads it outward to balance the decay.</w:t>
      </w:r>
    </w:p>
    <w:p>
      <w:pPr>
        <w:numPr>
          <w:ilvl w:val="0"/>
          <w:numId w:val="1001"/>
        </w:numPr>
        <w:pStyle w:val="Compact"/>
      </w:pPr>
      <w:r>
        <w:t xml:space="preserve">A larger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flattens the equilibrium profile (stronger diffusion smooths out the source-driven curvature).</w:t>
      </w:r>
    </w:p>
    <w:p>
      <w:pPr>
        <w:numPr>
          <w:ilvl w:val="0"/>
          <w:numId w:val="1001"/>
        </w:numPr>
        <w:pStyle w:val="Compact"/>
      </w:pP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encode the specific geometry (domain length and boundary values).</w:t>
      </w:r>
    </w:p>
    <w:bookmarkEnd w:id="22"/>
    <w:bookmarkStart w:id="23" w:name="Xbfb26af4469670e66ade24dacfe088114988081"/>
    <w:p>
      <w:pPr>
        <w:pStyle w:val="Heading2"/>
      </w:pPr>
      <w:r>
        <w:t xml:space="preserve">Example: Dirichlet BCs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</w:p>
    <w:p>
      <w:pPr>
        <w:pStyle w:val="FirstParagraph"/>
      </w:pPr>
      <w:r>
        <w:t xml:space="preserve">Applying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Applying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D</m:t>
              </m:r>
            </m:den>
          </m:f>
          <m:d>
            <m:dPr>
              <m:begChr m:val="("/>
              <m:endChr m:val=")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12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L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⟹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D</m:t>
              </m:r>
            </m:den>
          </m:f>
          <m:d>
            <m:dPr>
              <m:begChr m:val="(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L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12</m:t>
                  </m:r>
                </m:den>
              </m:f>
            </m:e>
          </m:d>
        </m:oMath>
      </m:oMathPara>
    </w:p>
    <w:p>
      <w:pPr>
        <w:pStyle w:val="FirstParagraph"/>
      </w:pPr>
      <w:r>
        <w:t xml:space="preserve">Giving the unique equilibrium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c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D</m:t>
              </m:r>
            </m:den>
          </m:f>
          <m:d>
            <m:dPr>
              <m:begChr m:val="("/>
              <m:endChr m:val=")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12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L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L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12</m:t>
                      </m:r>
                    </m:den>
                  </m:f>
                </m:e>
              </m:d>
              <m:r>
                <m:t>x</m:t>
              </m:r>
            </m:e>
          </m:d>
        </m:oMath>
      </m:oMathPara>
    </w:p>
    <w:p>
      <w:pPr>
        <w:pStyle w:val="FirstParagraph"/>
      </w:pPr>
      <w:r>
        <w:t xml:space="preserve">The equilibrium state is unique once boundary conditions are specified; the general solution is the two-parameter family above.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2026-06-18T18:49:29Z</dcterms:created>
  <dcterms:modified xsi:type="dcterms:W3CDTF">2026-06-18T18:49:29Z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