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6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75d139db9872f6b30595f7ca38a5c8c0bc5be2"/>
    <w:p>
      <w:pPr>
        <w:pStyle w:val="Heading1"/>
      </w:pPr>
      <w:r>
        <w:t xml:space="preserve">Exercise 8.2 — Market Share Competition and Bifurcation Analysis</w:t>
      </w:r>
    </w:p>
    <w:bookmarkStart w:id="20" w:name="problem-setup"/>
    <w:p>
      <w:pPr>
        <w:pStyle w:val="Heading2"/>
      </w:pPr>
      <w:r>
        <w:t xml:space="preserve">Problem Setup</w:t>
      </w:r>
    </w:p>
    <w:p>
      <w:pPr>
        <w:pStyle w:val="FirstParagraph"/>
      </w:pPr>
      <w:r>
        <w:t xml:space="preserve">Two companies A and B compete for local market share.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= market share of A,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market share of B. Since there are no third-party competitors: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</m:oMath>
      </m:oMathPara>
    </w:p>
    <w:p>
      <w:pPr>
        <w:pStyle w:val="FirstParagraph"/>
      </w:pPr>
      <w:r>
        <w:t xml:space="preserve">So the relative competitive edge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simplifies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The model for A's market share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8.18</m:t>
          </m:r>
          <m:r>
            <m:rPr>
              <m:sty m:val="p"/>
            </m:rPr>
            <m:t>)</m:t>
          </m:r>
        </m:oMath>
      </m:oMathPara>
    </w:p>
    <w:bookmarkEnd w:id="20"/>
    <w:bookmarkEnd w:id="21"/>
    <w:bookmarkStart w:id="25" w:name="X04edae9939217122718c368514fae3dd39ec62e"/>
    <w:p>
      <w:pPr>
        <w:pStyle w:val="Heading2"/>
      </w:pPr>
      <w:r>
        <w:t xml:space="preserve">Part 1: Equilibria and Stability of Equation (8.18)</w:t>
      </w:r>
    </w:p>
    <w:bookmarkStart w:id="22" w:name="finding-equilibria"/>
    <w:p>
      <w:pPr>
        <w:pStyle w:val="Heading3"/>
      </w:pPr>
      <w:r>
        <w:t xml:space="preserve">Finding Equilibria</w:t>
      </w:r>
    </w:p>
    <w:p>
      <w:pPr>
        <w:pStyle w:val="FirstParagraph"/>
      </w:pPr>
      <w:r>
        <w:t xml:space="preserve">Set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x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Each factor gives one equilibrium: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bookmarkEnd w:id="22"/>
    <w:bookmarkStart w:id="23" w:name="stability-analysis"/>
    <w:p>
      <w:pPr>
        <w:pStyle w:val="Heading3"/>
      </w:pPr>
      <w:r>
        <w:t xml:space="preserve">Stability Analysis</w:t>
      </w:r>
    </w:p>
    <w:p>
      <w:pPr>
        <w:pStyle w:val="FirstParagraph"/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Using the product rule: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′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d>
            <m:dPr>
              <m:begChr m:val="[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a</m:t>
          </m:r>
          <m:d>
            <m:dPr>
              <m:begChr m:val="[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a</m:t>
          </m:r>
          <m:d>
            <m:dPr>
              <m:begChr m:val="[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Evaluating at each equilibrium (assuming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941"/>
        <w:gridCol w:w="2489"/>
        <w:gridCol w:w="2489"/>
      </w:tblGrid>
      <w:tr>
        <w:tc>
          <w:p>
            <w:pPr>
              <w:pStyle w:val="Compact"/>
              <w:jc w:val="center"/>
            </w:pPr>
            <w:r>
              <w:t xml:space="preserve">Equilibrium</w:t>
            </w:r>
          </w:p>
        </w:tc>
        <w:tc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Stability</w:t>
            </w:r>
          </w:p>
        </w:tc>
      </w:tr>
      <w:tr>
        <w:tc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Stable</w:t>
            </w:r>
          </w:p>
        </w:tc>
      </w:tr>
      <w:tr>
        <w:tc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Unstable</w:t>
            </w:r>
          </w:p>
        </w:tc>
      </w:tr>
      <w:tr>
        <w:tc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Stable</w:t>
            </w:r>
          </w:p>
        </w:tc>
      </w:tr>
    </w:tbl>
    <w:bookmarkEnd w:id="23"/>
    <w:bookmarkStart w:id="24" w:name="interpretation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is a classic</w:t>
      </w:r>
      <w:r>
        <w:t xml:space="preserve"> </w:t>
      </w:r>
      <w:r>
        <w:rPr>
          <w:bCs/>
          <w:b/>
        </w:rPr>
        <w:t xml:space="preserve">winner-take-all</w:t>
      </w:r>
      <w:r>
        <w:t xml:space="preserve"> </w:t>
      </w:r>
      <w:r>
        <w:t xml:space="preserve">dynamic:</w:t>
      </w:r>
    </w:p>
    <w:p>
      <w:pPr>
        <w:numPr>
          <w:ilvl w:val="0"/>
          <w:numId w:val="1001"/>
        </w:numPr>
        <w:pStyle w:val="Compact"/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: Company B captures 100% of the market (stable)</w:t>
      </w:r>
    </w:p>
    <w:p>
      <w:pPr>
        <w:numPr>
          <w:ilvl w:val="0"/>
          <w:numId w:val="1001"/>
        </w:numPr>
        <w:pStyle w:val="Compact"/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 Company A captures 100% of the market (stable)</w:t>
      </w:r>
    </w:p>
    <w:p>
      <w:pPr>
        <w:numPr>
          <w:ilvl w:val="0"/>
          <w:numId w:val="1001"/>
        </w:numPr>
        <w:pStyle w:val="Compact"/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 Equal split — an</w:t>
      </w:r>
      <w:r>
        <w:t xml:space="preserve"> </w:t>
      </w:r>
      <w:r>
        <w:rPr>
          <w:bCs/>
          <w:b/>
        </w:rPr>
        <w:t xml:space="preserve">unstable tipping point</w:t>
      </w:r>
      <w:r>
        <w:t xml:space="preserve"> </w:t>
      </w:r>
      <w:r>
        <w:t xml:space="preserve">(repeller)</w:t>
      </w:r>
    </w:p>
    <w:p>
      <w:pPr>
        <w:pStyle w:val="FirstParagraph"/>
      </w:pPr>
      <w:r>
        <w:t xml:space="preserve">Whichever company holds more than 50% market share tends toward complete dominance. The boundary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the separatrix between the two basins of attraction.</w:t>
      </w:r>
    </w:p>
    <w:bookmarkEnd w:id="24"/>
    <w:bookmarkEnd w:id="25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scipy.integrate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solve_ivp</w:t>
      </w:r>
    </w:p>
    <w:p>
      <w:pPr>
        <w:pStyle w:val="SourceCode"/>
      </w:pPr>
      <w:r>
        <w:rPr>
          <w:rStyle w:val="CommentTok"/>
        </w:rPr>
        <w:t xml:space="preserve"># --- Phase portrait for Eq 8.18 ---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f_818(x, 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dxdt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f_818(x_vals, a)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Left: dx/dt vs x (1D phase line)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ax.plot(x_vals, dxdt,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ax.fill_between(x_vals,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dxdt,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dxdt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'dx/dt &gt; 0 (A grows)'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ax.fill_between(x_vals,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dxdt,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dxdt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'dx/dt &lt; 0 (A shrinks)'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Mark equilibria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xeq, stab,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'Unstable'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ax.plot(xeq,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ax.annotate(</w:t>
      </w:r>
      <w:r>
        <w:rPr>
          <w:rStyle w:val="SpecialStringTok"/>
        </w:rPr>
        <w:t xml:space="preserve">f'$x^*=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xeq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$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, 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(xeq,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(xeq,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'Market share $x$'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'$dx/dt$'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'Phase line — Eq (8.18), $a=1$'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Right: time series from various initial conditions</w:t>
      </w:r>
      <w:r>
        <w:br/>
      </w:r>
      <w:r>
        <w:rPr>
          <w:rStyle w:val="NormalTok"/>
        </w:rPr>
        <w:t xml:space="preserve">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t_span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x0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solve_ivp(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t, y: [f_818(y[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a)], t_span, [x0], t_eval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t_eval, dense_output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lbl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f'$x_0=</w:t>
      </w:r>
      <w:r>
        <w:rPr>
          <w:rStyle w:val="SpecialCharTok"/>
        </w:rPr>
        <w:t xml:space="preserve">{x0}</w:t>
      </w:r>
      <w:r>
        <w:rPr>
          <w:rStyle w:val="SpecialStringTok"/>
        </w:rPr>
        <w:t xml:space="preserve">$'</w:t>
      </w:r>
      <w:r>
        <w:br/>
      </w:r>
      <w:r>
        <w:rPr>
          <w:rStyle w:val="NormalTok"/>
        </w:rPr>
        <w:t xml:space="preserve">    ax2.plot(sol.t, sol.y[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lbl)</w:t>
      </w:r>
      <w:r>
        <w:br/>
      </w:r>
      <w:r>
        <w:rPr>
          <w:rStyle w:val="NormalTok"/>
        </w:rPr>
        <w:t xml:space="preserve">ax2.axhline(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'$x^*=0.5$ (unstable)'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'Time $t$'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'Market share $x$'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'Time series — Eq (8.18), $a=1$'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174958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646598019efe9e75e52ff7888452a4377151226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9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Xd61c8b8ae23935d0829fb96aac15ca037f2dc06"/>
    <w:p>
      <w:pPr>
        <w:pStyle w:val="Heading2"/>
      </w:pPr>
      <w:r>
        <w:t xml:space="preserve">Part 2: Global Market Influence — Bifurcation Analysis of Equation (8.19)</w:t>
      </w:r>
    </w:p>
    <w:p>
      <w:pPr>
        <w:pStyle w:val="FirstParagraph"/>
      </w:pPr>
      <w:r>
        <w:t xml:space="preserve">Now add the global market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8.19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global influence strength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A's global market share (held constant).</w:t>
      </w:r>
    </w:p>
    <w:bookmarkStart w:id="27" w:name="Xa3bab2d68b1b49d207b425396933cde87f131f3"/>
    <w:p>
      <w:pPr>
        <w:pStyle w:val="Heading3"/>
      </w:pPr>
      <w:r>
        <w:t xml:space="preserve">Finding the Critical Condition (Bifurcation Point)</w:t>
      </w:r>
    </w:p>
    <w:p>
      <w:pPr>
        <w:pStyle w:val="FirstParagraph"/>
      </w:pPr>
      <w:r>
        <w:rPr>
          <w:bCs/>
          <w:b/>
        </w:rPr>
        <w:t xml:space="preserve">Step 1 — Check</w:t>
      </w:r>
      <w:r>
        <w:rPr>
          <w:bCs/>
          <w:b/>
        </w:rP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bCs/>
          <w:b/>
        </w:rPr>
        <w:t xml:space="preserve"> </w:t>
      </w:r>
      <w:r>
        <w:rPr>
          <w:bCs/>
          <w:b/>
        </w:rPr>
        <w:t xml:space="preserve">for all</w:t>
      </w:r>
      <w:r>
        <w:rPr>
          <w:bCs/>
          <w:b/>
        </w:rPr>
        <w:t xml:space="preserve"> </w:t>
      </w:r>
      <m:oMath>
        <m:r>
          <m:t>r</m:t>
        </m:r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substituting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into (8.19):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+</m:t>
          </m:r>
          <m:r>
            <m:t>r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an equilibrium</w:t>
      </w:r>
      <w:r>
        <w:t xml:space="preserve"> </w:t>
      </w:r>
      <w:r>
        <w:rPr>
          <w:bCs/>
          <w:b/>
        </w:rPr>
        <w:t xml:space="preserve">for all values of</w:t>
      </w:r>
      <w:r>
        <w:rPr>
          <w:bCs/>
          <w:b/>
        </w:rP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Step 2 — Stability of</w:t>
      </w:r>
      <w:r>
        <w:rPr>
          <w:bCs/>
          <w:b/>
        </w:rP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′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d>
            <m:dPr>
              <m:begChr m:val="[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−</m:t>
          </m:r>
          <m:r>
            <m:t>r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′</m:t>
          </m:r>
          <m:r>
            <m:t>​</m:t>
          </m:r>
          <m:d>
            <m:dPr>
              <m:begChr m:val="(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t>a</m:t>
          </m:r>
          <m:d>
            <m:dPr>
              <m:begChr m:val="[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r</m:t>
          </m:r>
        </m:oMath>
      </m:oMathPara>
    </w:p>
    <w:p>
      <w:pPr>
        <w:pStyle w:val="FirstParagraph"/>
      </w:pPr>
      <w:r>
        <w:t xml:space="preserve">This changes sign at: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</m:e>
          </m:borderBox>
        </m:oMath>
      </m:oMathPara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Condition</w:t>
            </w:r>
          </w:p>
        </w:tc>
        <w:tc>
          <w:p>
            <w:pPr>
              <w:pStyle w:val="Compact"/>
              <w:jc w:val="center"/>
            </w:pPr>
            <w:r>
              <w:t xml:space="preserve">Stability of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</w:tr>
      <w:tr>
        <w:tc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p>
            <w:pPr>
              <w:pStyle w:val="Compact"/>
              <w:jc w:val="center"/>
            </w:pPr>
            <w:r>
              <w:t xml:space="preserve">Unstable (tipping point survives)</w:t>
            </w:r>
          </w:p>
        </w:tc>
      </w:tr>
      <w:tr>
        <w:tc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p>
            <w:pPr>
              <w:pStyle w:val="Compact"/>
              <w:jc w:val="center"/>
            </w:pPr>
            <w:r>
              <w:t xml:space="preserve">Bifurcation point</w:t>
            </w:r>
          </w:p>
        </w:tc>
      </w:tr>
      <w:tr>
        <w:tc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p>
            <w:pPr>
              <w:pStyle w:val="Compact"/>
              <w:jc w:val="center"/>
            </w:pPr>
            <w:r>
              <w:t xml:space="preserve">Stable (global market takes over)</w:t>
            </w:r>
          </w:p>
        </w:tc>
      </w:tr>
    </w:tbl>
    <w:p>
      <w:pPr>
        <w:pStyle w:val="BodyText"/>
      </w:pPr>
      <w:r>
        <w:rPr>
          <w:bCs/>
          <w:b/>
        </w:rPr>
        <w:t xml:space="preserve">Step 3 — Local normal form (confirms pitchfork structure).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(shift equilibrium to origin). Expanding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to third order: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≈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r</m:t>
              </m:r>
            </m:e>
          </m:d>
          <m:r>
            <m:t>u</m:t>
          </m:r>
          <m:r>
            <m:rPr>
              <m:sty m:val="p"/>
            </m:rPr>
            <m:t>−</m:t>
          </m:r>
          <m:r>
            <m:t>2</m:t>
          </m:r>
          <m:r>
            <m:t>a</m:t>
          </m:r>
          <m:sSup>
            <m:e>
              <m:r>
                <m:t>u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This is the standard</w:t>
      </w:r>
      <w:r>
        <w:t xml:space="preserve"> </w:t>
      </w:r>
      <w:r>
        <w:rPr>
          <w:bCs/>
          <w:b/>
        </w:rPr>
        <w:t xml:space="preserve">supercritical pitchfork</w:t>
      </w:r>
      <w:r>
        <w:t xml:space="preserve"> </w:t>
      </w:r>
      <w:r>
        <w:t xml:space="preserve">normal form</w:t>
      </w:r>
      <w:r>
        <w:t xml:space="preserve"> </w:t>
      </w:r>
      <m:oMath>
        <m:acc>
          <m:accPr>
            <m:chr m:val="̇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μ</m:t>
        </m:r>
        <m:r>
          <m:t>u</m:t>
        </m:r>
        <m:r>
          <m:rPr>
            <m:sty m:val="p"/>
          </m:rPr>
          <m:t>−</m:t>
        </m:r>
        <m:r>
          <m:t>c</m:t>
        </m:r>
        <m:sSup>
          <m:e>
            <m:r>
              <m:t>u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— only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 is stable.</w:t>
      </w:r>
    </w:p>
    <w:p>
      <w:pPr>
        <w:numPr>
          <w:ilvl w:val="0"/>
          <w:numId w:val="1002"/>
        </w:numPr>
        <w:pStyle w:val="Compact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becomes unstable, and two stable branches emerge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±</m:t>
        </m:r>
        <m:rad>
          <m:radPr>
            <m:degHide m:val="1"/>
          </m:radPr>
          <m:deg/>
          <m:e>
            <m:f>
              <m:fPr>
                <m:type m:val="bar"/>
              </m:fPr>
              <m:num>
                <m:r>
                  <m:t>μ</m:t>
                </m:r>
              </m:num>
              <m:den>
                <m:r>
                  <m:t>2</m:t>
                </m:r>
                <m:r>
                  <m:t>a</m:t>
                </m:r>
              </m:den>
            </m:f>
          </m:e>
        </m:rad>
      </m:oMath>
      <w:r>
        <w:t xml:space="preserve">.</w:t>
      </w:r>
    </w:p>
    <w:bookmarkEnd w:id="27"/>
    <w:bookmarkStart w:id="28" w:name="X17d4e76cef918f90135516e848ccec67171f45a"/>
    <w:p>
      <w:pPr>
        <w:pStyle w:val="Heading3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: Critical threshold is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8"/>
    <w:bookmarkEnd w:id="29"/>
    <w:p>
      <w:pPr>
        <w:pStyle w:val="SourceCode"/>
      </w:pPr>
      <w:r>
        <w:rPr>
          <w:rStyle w:val="CommentTok"/>
        </w:rPr>
        <w:t xml:space="preserve"># --- Bifurcation diagram for Eq 8.19 with a=1, p=0.5 ---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fsolve</w:t>
      </w:r>
      <w:r>
        <w:br/>
      </w:r>
      <w:r>
        <w:br/>
      </w:r>
      <w:r>
        <w:rPr>
          <w:rStyle w:val="NormalTok"/>
        </w:rPr>
        <w:t xml:space="preserve">a_val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p_val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g_819(x, r, 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g_prime(x, r, 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</w:t>
      </w:r>
      <w:r>
        <w:br/>
      </w:r>
      <w:r>
        <w:br/>
      </w:r>
      <w:r>
        <w:rPr>
          <w:rStyle w:val="NormalTok"/>
        </w:rPr>
        <w:t xml:space="preserve">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a_val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= 0.5</w:t>
      </w:r>
      <w:r>
        <w:br/>
      </w:r>
      <w:r>
        <w:br/>
      </w:r>
      <w:r>
        <w:rPr>
          <w:rStyle w:val="CommentTok"/>
        </w:rPr>
        <w:t xml:space="preserve"># Collect equilibria numerically for each r</w:t>
      </w:r>
      <w:r>
        <w:br/>
      </w:r>
      <w:r>
        <w:rPr>
          <w:rStyle w:val="NormalTok"/>
        </w:rPr>
        <w:t xml:space="preserve">eq_stable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eq_unstable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r_vals:</w:t>
      </w:r>
      <w:r>
        <w:br/>
      </w:r>
      <w:r>
        <w:rPr>
          <w:rStyle w:val="NormalTok"/>
        </w:rPr>
        <w:t xml:space="preserve">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x0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x_test: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fsolve(g_819, x0,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(r,), full_output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xeq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xeq_rounded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(xeq,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xeq_rounded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found:</w:t>
      </w:r>
      <w:r>
        <w:br/>
      </w:r>
      <w:r>
        <w:rPr>
          <w:rStyle w:val="NormalTok"/>
        </w:rPr>
        <w:t xml:space="preserve">                    found.add(xeq_rounded)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g_prime(xeq, r)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eq_stable.append((r, xeq))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eq_unstable.append((r, xeq))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r_s, x_s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eq_stable)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eq_stable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([], [])</w:t>
      </w:r>
      <w:r>
        <w:br/>
      </w:r>
      <w:r>
        <w:rPr>
          <w:rStyle w:val="NormalTok"/>
        </w:rPr>
        <w:t xml:space="preserve">r_u, x_u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eq_unstable)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eq_unstable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([], [])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ax.scatter(r_s, x_s,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'Stable equilibrium'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ax.scatter(r_u, x_u,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'tomato'</w:t>
      </w:r>
      <w:r>
        <w:rPr>
          <w:rStyle w:val="NormalTok"/>
        </w:rPr>
        <w:t xml:space="preserve">,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'Unstable equilibrium'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ax.axvline(r_c,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f'$r_c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r_c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$ (bifurcation)'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'Global influence strength $r$'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"Equilibrium market share $x^*$"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"Bifurcation diagram — Eq (8.19), $a=1$, $p=0.5$"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ax.annotate(</w:t>
      </w:r>
      <w:r>
        <w:rPr>
          <w:rStyle w:val="StringTok"/>
        </w:rPr>
        <w:t xml:space="preserve">'Winner-take-all</w:t>
      </w:r>
      <w:r>
        <w:rPr>
          <w:rStyle w:val="CharTok"/>
        </w:rPr>
        <w:t xml:space="preserve">\n</w:t>
      </w:r>
      <w:r>
        <w:rPr>
          <w:rStyle w:val="StringTok"/>
        </w:rPr>
        <w:t xml:space="preserve">(bistable)'</w:t>
      </w:r>
      <w:r>
        <w:rPr>
          <w:rStyle w:val="NormalTok"/>
        </w:rPr>
        <w:t xml:space="preserve">, 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ax.annotate(</w:t>
      </w:r>
      <w:r>
        <w:rPr>
          <w:rStyle w:val="StringTok"/>
        </w:rPr>
        <w:t xml:space="preserve">'Global market</w:t>
      </w:r>
      <w:r>
        <w:rPr>
          <w:rStyle w:val="CharTok"/>
        </w:rPr>
        <w:t xml:space="preserve">\n</w:t>
      </w:r>
      <w:r>
        <w:rPr>
          <w:rStyle w:val="StringTok"/>
        </w:rPr>
        <w:t xml:space="preserve">dominates</w:t>
      </w:r>
      <w:r>
        <w:rPr>
          <w:rStyle w:val="CharTok"/>
        </w:rPr>
        <w:t xml:space="preserve">\n</w:t>
      </w:r>
      <w:r>
        <w:rPr>
          <w:rStyle w:val="StringTok"/>
        </w:rPr>
        <w:t xml:space="preserve">$(x^*=0.5)$'</w:t>
      </w:r>
      <w:r>
        <w:rPr>
          <w:rStyle w:val="NormalTok"/>
        </w:rPr>
        <w:t xml:space="preserve">, 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f"Critical threshold: r_c = a/2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r_c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1262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30cb688f24e564622f9fe43d26bf6449e3c6018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2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Critical threshold: r_c = a/2 = 0.5</w:t>
      </w:r>
    </w:p>
    <w:p>
      <w:pPr>
        <w:pStyle w:val="SourceCode"/>
      </w:pPr>
      <w:r>
        <w:rPr>
          <w:rStyle w:val="CommentTok"/>
        </w:rPr>
        <w:t xml:space="preserve"># --- Time series showing the regime shift on either side of r_c ---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t_span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x0_vals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r_plot, ax, title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'$r=0.2 &lt; r_c$ — Bistable (winner-take-all)'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'$r=0.8 &gt; r_c$ — Global market drives $x </w:t>
      </w:r>
      <w:r>
        <w:rPr>
          <w:rStyle w:val="CharTok"/>
        </w:rPr>
        <w:t xml:space="preserve">\\</w:t>
      </w:r>
      <w:r>
        <w:rPr>
          <w:rStyle w:val="StringTok"/>
        </w:rPr>
        <w:t xml:space="preserve">to 0.5$'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x0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x0_vals: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solve_ivp(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t, y: [g_819(y[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r_plot)], t_span, [x0], t_eval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t_eval)</w:t>
      </w:r>
      <w:r>
        <w:br/>
      </w:r>
      <w:r>
        <w:rPr>
          <w:rStyle w:val="NormalTok"/>
        </w:rPr>
        <w:t xml:space="preserve">        ax.plot(sol.t, sol.y[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f'$x_0=</w:t>
      </w:r>
      <w:r>
        <w:rPr>
          <w:rStyle w:val="SpecialCharTok"/>
        </w:rPr>
        <w:t xml:space="preserve">{x0}</w:t>
      </w:r>
      <w:r>
        <w:rPr>
          <w:rStyle w:val="SpecialStringTok"/>
        </w:rPr>
        <w:t xml:space="preserve">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ax.axhline(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'Time $t$'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'Market share $x$'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ax.set_title(title,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174958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91375be6a8b10c81ba8cea93e6766683e3ada48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9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2" w:name="summary-bifurcation-type"/>
    <w:p>
      <w:pPr>
        <w:pStyle w:val="Heading3"/>
      </w:pPr>
      <w:r>
        <w:t xml:space="preserve">Summary: Bifurcation Type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supercritical pitchfork bifurcation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: the global market erases the winner-take-all dynamic. The single stable equilibrium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means market share is pinned to the global value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: the global influence is too weak to overcome local competitive dynamics.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becomes an unstable tipping point, and two stable equilibria emerge — one near 0 (B wins locally) and one near 1 (A wins locally).</w:t>
      </w:r>
    </w:p>
    <w:p>
      <w:pPr>
        <w:numPr>
          <w:ilvl w:val="0"/>
          <w:numId w:val="1003"/>
        </w:numPr>
        <w:pStyle w:val="Compact"/>
      </w:pPr>
      <w:r>
        <w:t xml:space="preserve">The bifurcation represents a</w:t>
      </w:r>
      <w:r>
        <w:t xml:space="preserve"> </w:t>
      </w:r>
      <w:r>
        <w:rPr>
          <w:bCs/>
          <w:b/>
        </w:rPr>
        <w:t xml:space="preserve">transition between market regimes</w:t>
      </w:r>
      <w:r>
        <w:t xml:space="preserve">: from a globally-coupled equilibrium market to a bistable winner-take-all market.</w:t>
      </w:r>
    </w:p>
    <w:bookmarkEnd w:id="32"/>
    <w:bookmarkStart w:id="38" w:name="X864bc6ffc52118bccf8b82130104269cda7b73c"/>
    <w:p>
      <w:pPr>
        <w:pStyle w:val="Heading2"/>
      </w:pPr>
      <w:r>
        <w:t xml:space="preserve">Part 3: Marketing Strategy — How to "Flip" the Market</w:t>
      </w:r>
    </w:p>
    <w:bookmarkStart w:id="33" w:name="setup"/>
    <w:p>
      <w:pPr>
        <w:pStyle w:val="Heading3"/>
      </w:pPr>
      <w:r>
        <w:t xml:space="preserve">Setup</w:t>
      </w:r>
    </w:p>
    <w:p>
      <w:pPr>
        <w:pStyle w:val="FirstParagraph"/>
      </w:pPr>
      <w:r>
        <w:t xml:space="preserve">Suppose company A is currently being overwhelmed — its local market share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small and stuck near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 dominates). The bifurcation analysis tells us exactly what levers are available.</w:t>
      </w:r>
    </w:p>
    <w:p>
      <w:r>
        <w:pict>
          <v:rect style="width:0;height:1.5pt" o:hralign="center" o:hrstd="t" o:hr="t"/>
        </w:pict>
      </w:r>
    </w:p>
    <w:bookmarkEnd w:id="33"/>
    <w:bookmarkStart w:id="34" w:name="X25f012764d189d5db004e24389e4ffa6bed7c9f"/>
    <w:p>
      <w:pPr>
        <w:pStyle w:val="Heading3"/>
      </w:pPr>
      <w:r>
        <w:t xml:space="preserve">Strategy 1: Cross the Tipping Point (Brute-Force Push)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, the unstable equilibrium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acts as a threshold. If A can push its local market share</w:t>
      </w:r>
      <w:r>
        <w:t xml:space="preserve"> </w:t>
      </w:r>
      <w:r>
        <w:rPr>
          <w:bCs/>
          <w:b/>
        </w:rPr>
        <w:t xml:space="preserve">above 50%</w:t>
      </w:r>
      <w:r>
        <w:t xml:space="preserve"> </w:t>
      </w:r>
      <w:r>
        <w:t xml:space="preserve">through any means — heavy advertising, promotions, temporary discounts, strategic partnerships — the dynamics take over.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the term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becomes positive and self-reinforcing, driving A toward full market dominance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This is high-risk but potentially decisive. Think of it as the "blitz" strategy.</w:t>
      </w:r>
    </w:p>
    <w:p>
      <w:r>
        <w:pict>
          <v:rect style="width:0;height:1.5pt" o:hralign="center" o:hrstd="t" o:hr="t"/>
        </w:pict>
      </w:r>
    </w:p>
    <w:bookmarkEnd w:id="34"/>
    <w:bookmarkStart w:id="35" w:name="Xbe055f70fb7b83c37743d75f96b5724e8ada9ca"/>
    <w:p>
      <w:pPr>
        <w:pStyle w:val="Heading3"/>
      </w:pPr>
      <w:r>
        <w:t xml:space="preserve">Strategy 2: Win Globally First, Then Let It Trickle Down (</w:t>
      </w:r>
      <m:oMath>
        <m:r>
          <m:t>r</m:t>
        </m:r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This is the smarter play. Rather than fighting the local winner-take-all dynamic directly, company A should: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Establish a strong position in the broader national or global market</w:t>
      </w:r>
      <w:r>
        <w:t xml:space="preserve">, pushing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Strengthen the coupling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between global and local markets (e.g., through brand recognition, media presence, supply-chain integration).</w:t>
      </w:r>
    </w:p>
    <w:p>
      <w:pPr>
        <w:pStyle w:val="FirstParagraph"/>
      </w:pPr>
      <w:r>
        <w:t xml:space="preserve">Once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the bifurcation disappears — the local winner-take-all dynamic is suppressed. The local market then converges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regardless of initial conditions. If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the local market naturally follows. There's no longer a need to "fight" locally.</w:t>
      </w:r>
    </w:p>
    <w:p>
      <w:pPr>
        <w:pStyle w:val="BodyText"/>
      </w:pPr>
      <w:r>
        <w:t xml:space="preserve">This is the strategy large multinational brands use: build global dominance, and local markets self-correct.</w:t>
      </w:r>
    </w:p>
    <w:p>
      <w:r>
        <w:pict>
          <v:rect style="width:0;height:1.5pt" o:hralign="center" o:hrstd="t" o:hr="t"/>
        </w:pict>
      </w:r>
    </w:p>
    <w:bookmarkEnd w:id="35"/>
    <w:bookmarkStart w:id="36" w:name="Xaa7999f90aa16cc3916a2e4192fbed28251d834"/>
    <w:p>
      <w:pPr>
        <w:pStyle w:val="Heading3"/>
      </w:pPr>
      <w:r>
        <w:t xml:space="preserve">Strategy 3: Reduce the Competitive Intensity (</w:t>
      </w:r>
      <m:oMath>
        <m:r>
          <m:t>a</m:t>
        </m:r>
        <m:r>
          <m:rPr>
            <m:sty m:val="p"/>
          </m:rPr>
          <m:t>↓</m:t>
        </m:r>
      </m:oMath>
      <w:r>
        <w:t xml:space="preserve">, raising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Lowering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raises the threshold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meaning the same global influence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now exceeds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more easily. A could:</w:t>
      </w:r>
    </w:p>
    <w:p>
      <w:pPr>
        <w:numPr>
          <w:ilvl w:val="0"/>
          <w:numId w:val="1005"/>
        </w:numPr>
        <w:pStyle w:val="Compact"/>
      </w:pPr>
      <w:r>
        <w:t xml:space="preserve">Differentiate its product to avoid direct head-to-head comparison.</w:t>
      </w:r>
    </w:p>
    <w:p>
      <w:pPr>
        <w:numPr>
          <w:ilvl w:val="0"/>
          <w:numId w:val="1005"/>
        </w:numPr>
        <w:pStyle w:val="Compact"/>
      </w:pPr>
      <w:r>
        <w:t xml:space="preserve">Target a different customer segment entirely (reducing the effective competition parameter</w:t>
      </w:r>
      <w:r>
        <w:t xml:space="preserve"> </w:t>
      </w:r>
      <m:oMath>
        <m:r>
          <m:t>a</m:t>
        </m:r>
      </m:oMath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Form a strategic alliance to reduce competitive intensity.</w:t>
      </w:r>
    </w:p>
    <w:p>
      <w:r>
        <w:pict>
          <v:rect style="width:0;height:1.5pt" o:hralign="center" o:hrstd="t" o:hr="t"/>
        </w:pict>
      </w:r>
    </w:p>
    <w:bookmarkEnd w:id="36"/>
    <w:bookmarkStart w:id="37" w:name="key-takeaway"/>
    <w:p>
      <w:pPr>
        <w:pStyle w:val="Heading3"/>
      </w:pPr>
      <w:r>
        <w:t xml:space="preserve">Key Takeaway</w:t>
      </w:r>
    </w:p>
    <w:p>
      <w:pPr>
        <w:pStyle w:val="FirstParagraph"/>
      </w:pPr>
      <w:r>
        <w:t xml:space="preserve">The model reveals that the local market has a</w:t>
      </w:r>
      <w:r>
        <w:t xml:space="preserve"> </w:t>
      </w:r>
      <w:r>
        <w:rPr>
          <w:bCs/>
          <w:b/>
        </w:rPr>
        <w:t xml:space="preserve">bifurcation point</w:t>
      </w:r>
      <w:r>
        <w:t xml:space="preserve"> </w:t>
      </w:r>
      <w:r>
        <w:t xml:space="preserve">that separates two fundamentally different behaviors. A losing company cannot gradually "improve" its way to dominance if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— it needs either a</w:t>
      </w:r>
      <w:r>
        <w:t xml:space="preserve"> </w:t>
      </w:r>
      <w:r>
        <w:rPr>
          <w:bCs/>
          <w:b/>
        </w:rPr>
        <w:t xml:space="preserve">sudden push past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or a</w:t>
      </w:r>
      <w:r>
        <w:t xml:space="preserve"> </w:t>
      </w:r>
      <w:r>
        <w:rPr>
          <w:bCs/>
          <w:b/>
        </w:rPr>
        <w:t xml:space="preserve">regime change via global influence</w:t>
      </w:r>
      <w:r>
        <w:t xml:space="preserve">. Incremental improvement while stuck below the tipping point will always revert back to near zero. The math recommends going big globally, or going home.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2026-05-19T21:45:20Z</dcterms:created>
  <dcterms:modified xsi:type="dcterms:W3CDTF">2026-05-19T21:45:20Z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