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产量成本模拟器（VCS）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重要图表汇编</w:t>
      </w:r>
    </w:p>
    <w:p>
      <w:pPr>
        <w:spacing w:after="600" w:before="0"/>
        <w:jc w:val="center"/>
      </w:pPr>
      <w:r>
        <w:rPr>
          <w:rFonts w:ascii="微软雅黑" w:hAnsi="微软雅黑" w:eastAsia="微软雅黑"/>
          <w:b w:val="0"/>
          <w:color w:val="505050"/>
          <w:sz w:val="28"/>
        </w:rPr>
        <w:t>架构 · 数据与模型 · 策略与场景 · 合作与推广</w:t>
      </w:r>
    </w:p>
    <w:p>
      <w:pPr>
        <w:spacing w:after="600" w:before="0"/>
        <w:jc w:val="center"/>
      </w:pPr>
      <w:r>
        <w:rPr>
          <w:rFonts w:ascii="微软雅黑" w:hAnsi="微软雅黑" w:eastAsia="微软雅黑"/>
          <w:b w:val="0"/>
          <w:sz w:val="24"/>
        </w:rPr>
        <w:t>AI &amp; Data 组　|　总体筹划：吕吉　|　2026-10-17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C00000"/>
          <w:sz w:val="21"/>
        </w:rPr>
        <w:t>说明：本汇编中的图均为示例结构 / 示例数据（来自 AI &amp; Data 组自建原型及讨论稿），非沃尔沃真实数据、非真实系统设计；标 ⚠ 的内容需与业务部门确认。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来源文档：《产量成本模型-要素拆解.md》、《AI&amp;Data组合作建议-产量成本模拟器.md》</w:t>
      </w:r>
    </w:p>
    <w:p>
      <w:r>
        <w:br w:type="page"/>
      </w:r>
    </w:p>
    <w:p>
      <w:pPr>
        <w:spacing w:after="280" w:before="0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目　录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一、架构类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图1　产量成本模拟器总体架构图（技术架构）</w:t>
        <w:tab/>
        <w:t>3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图2　业务架构图 v2：业务流程 × 角色泳道 × 协作点</w:t>
        <w:tab/>
        <w:t>4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图3　业务逻辑图：从需求到成本结论与决策闭环</w:t>
        <w:tab/>
        <w:t>5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图4　合作建议版总体架构（简化，mermaid）</w:t>
        <w:tab/>
        <w:t>6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二、数据与模型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图5　数据关联图：各要素的数据如何结合计算</w:t>
        <w:tab/>
        <w:t>7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图6　原型基准结果：总装需求/产能/产量与年度成本构成</w:t>
        <w:tab/>
        <w:t>8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三、策略与场景结果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图7　策略对比与蒙特卡洛（示例数据）</w:t>
        <w:tab/>
        <w:t>9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图8　压力测试：场景库、焊装停线扫描、需求上限（示例数据）</w:t>
        <w:tab/>
        <w:t>10</w:t>
      </w:r>
    </w:p>
    <w:p>
      <w:pPr>
        <w:spacing w:after="60" w:before="0"/>
      </w:pPr>
      <w:r>
        <w:rPr>
          <w:rFonts w:ascii="微软雅黑" w:hAnsi="微软雅黑" w:eastAsia="微软雅黑"/>
          <w:b/>
          <w:color w:val="1F3864"/>
          <w:sz w:val="26"/>
        </w:rPr>
        <w:t>四、合作与推广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图9　策略推荐的决策流程（结构化决策模型 + 人工把关）</w:t>
        <w:tab/>
        <w:t>11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图10　合作路线图（甘特图）</w:t>
        <w:tab/>
        <w:t>12</w:t>
      </w:r>
    </w:p>
    <w:p>
      <w:pPr>
        <w:tabs>
          <w:tab w:pos="13606" w:val="right" w:leader="dot"/>
        </w:tabs>
        <w:spacing w:after="40"/>
        <w:ind w:left="567"/>
      </w:pPr>
      <w:r>
        <w:rPr>
          <w:rFonts w:ascii="微软雅黑" w:hAnsi="微软雅黑" w:eastAsia="微软雅黑"/>
          <w:sz w:val="22"/>
        </w:rPr>
        <w:t>图11　多工厂复制与推广机制图</w:t>
        <w:tab/>
        <w:t>13</w:t>
      </w:r>
    </w:p>
    <w:p>
      <w:pPr>
        <w:spacing w:after="80" w:before="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646464"/>
          <w:sz w:val="19"/>
        </w:rPr>
        <w:t>每张图一页：图题 → 图 → 来源文件与所属章节 → 怎么读与要点。原图 PNG 均保存在 /workspace/jph-cost-model/（mermaid 渲染图在「图表」子目录，附 .mmd 源文件，可修改后重新渲染）。</w:t>
      </w:r>
    </w:p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一、架构类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图1　产量成本模拟器总体架构图（技术架构）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4852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架构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4852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来源文件：架构图.png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0A 节「总体架构图」；生成脚本 prototype/plot_architecture.py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从下往上四层：④ 数据层（源系统 → 华为云数仓 ODS → DWD → 带版本的参数层，加数据质量与对账校准）→ ③ 模型/规则层（实体框架四层知识：定义、关系、规则、依据；车间链冲压 → 焊装 → 涂装 → 总装；离散的 JPH 档与班次模式）→ ② 求解/计算层（场景旋钮、只做计算的成本子模块、只做选择的 MIP 主模型）→ ① 应用/决策层（看板、策略对比、场景与压力测试、Laya 类决策模型、人工拍板）。右侧 ⑤ 是 AI 旁路（LLM 与 ML 小模型）。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怎么读：蓝色实线是数据向上流动；绿色虚线是向下反馈（选策略/新场景变成旋钮重算，测算 vs 实际的偏差回写成参数校准）；粉色虚线是 AI 建议，需人确认后才生效。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要点：求解器负责「选」，子模块负责「算」，数字由规则和求解器保证，AI 只提建议。图中两班 12 小时模式、预警阈值、Chronos/TimesFM 等标 ⚠，待确认。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图2　业务架构图 v2：业务流程 × 角色泳道 × 协作点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56376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架构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563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来源文件：业务架构图.png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20.1 节；《AI&amp;Data组合作建议-产量成本模拟器.md》 第 11.1 节；生成脚本 prototype/plot_business_arch.py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横向是业务流程七步：① 需求输入 → ② 参数维护 → ③ 测算/模拟 → ④ 策略决策 → ⑤ 执行 → ⑥ 实际回收 → ⑦ 对账校准，⑦ 的偏差回写到 ②，形成闭环（绿色虚线）。纵向是 9 个角色泳道：管理层、计划/排产（VCS 业务 Owner）、IE、HR、能源/设施、财务/成本、物流/供应、IT/数字化、AI &amp; Data 组。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红色编号是协作点：C1–C9 落在具体步骤上，C10 小模型开发、C11 推广复制、C12 治理节奏跨越全流程，画在底部。一个格子有多个编号，表示这个动作同时属于几个协作点。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要点：参数谁产生谁负责，AI &amp; Data 组管表结构、版本和质量规则，不替业务定参数值。部门分工为建议结构 ⚠，需在阶段 0 联合诊断时逐条确认。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图3　业务逻辑图：从需求到成本结论与决策闭环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51534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逻辑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515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来源文件：业务逻辑图.png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0B 节「业务逻辑图」（计算实例见第 1A.2–1A.4 节）；生成脚本 prototype/plot_business_logic.py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从上到下四段：Ⓐ 业务输入（需求、配置结构、产能与时间、单价与规则、场景旋钮，按「场景ID + 生效日期」取参数快照）→ Ⓑ 产能与需求匹配（所需产量 → 候选「JPH 档 × 班次」→ 正常产能 = JPH × 每班有效小时 × 班次数 × 工作日 × 开动率 → 两个判断：正常产能够不够、缺口 ÷ JPH 是否不超过加班上限；不够就换模式或动用缓存，仍不够记缺口惩罚；底部是冲压 → 焊装 → 涂装 → 总装的缓存流平衡）→ Ⓒ 按所选模式推导人力、加班、能源、班车/外包、OH、缓存持有，汇总成方案总成本，单车成本 = 总成本 ÷ 总装产量 → Ⓓ 约束校验 → 求解器选优 → 策略与场景 → 风险判断 → 管理层决策 → 执行 → 实际回收 → 对账，超阈值时参数校准回写到 Ⓐ。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怎么读：菱形是判断节点；绿色是「是」，红色是「否」或缺口，红色虚线是回到上游重选或调整，绿色虚线是对账校准回写。右侧是总装 10 月示例（示例数据）：需求 11,000 台，36 档 × 两班正常产能 9,720 台，加班 35.6 小时补足，当月 1,449 万元，单车约 1,317 元。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要点：JPH 档和班次是离散选择，人数、能耗、班车、OH 是派生量；主模型只做选择，子模块只做计算。两班 12 小时模式、开动率口径、对账阈值（±5% 为示例）等标 ⚠，待确认。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图4　合作建议版总体架构（简化，mermaid）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53114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合作建议-总体架构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5311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来源文件：图表/合作建议-总体架构.png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所属章节：《AI&amp;Data组合作建议-产量成本模拟器.md》 附录 A「总体架构」（mermaid 源文件：图表/合作建议-总体架构.mmd）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这是给业务部门看的简化版总体架构，与图 1 是同一套结构，只保留主干：源系统（PLM、HR、MES、能源计量、财务）→ 华为云数仓 + 自研平台（实体框架、数据质量规则、参数层、对账与校准）→ 计算与决策引擎（成本测算模块 → 求解器；ML 小模型的预测值作为参数版本写入参数层）→ 解释与策略（LLM、结构化决策模型）→ 管理层决策。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要点：MES 与财务的实际数据进入对账与校准，修正参数层；管理层的决策留痕回挂到实体框架（虚线）。人做最终选择。</w:t>
            </w:r>
          </w:p>
        </w:tc>
      </w:tr>
    </w:tbl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二、数据与模型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图5　数据关联图：各要素的数据如何结合计算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781552" cy="47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关联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81552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来源文件：数据关联图.png　|　所属章节：《产量成本模型-要素拆解.md》 第 1A.1 节（计算实例见第 1A.2–1A.5 节）；生成脚本 prototype/plot_linkage.py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从左到右四列：① 输入主数据/参数 → ② 中间计算（车型需求组合、车间负荷工时、可用小时、产能、产量、加班小时、人数、能耗）→ ③ 成本科目（人工、加班费、班车、外包、OH、缓存持有、能源）→ ④ 优化（总成本 + 缺口惩罚 → 选 JPH 档 × 班次 → 最优方案与单车成本）。红框文字是关联键（JOIN KEY），所有参数按「场景ID + 生效日期」取版本。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绿色虚线表示求解器回到输入端，每个车间每月换一个「JPH 档 × 班次数」组合，重算整条链，取总成本最低。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实例（示例数据，第 1A.2 节）：总装 10 月需求 11,000 台，选 JPH 36 × 两班，可用 270 小时、正常产能 9,720 台，加班 35.6 小时补足缺口。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图6　原型基准结果：总装需求/产能/产量与年度成本构成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3669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6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来源文件：prototype/output/demo.png　|　所属章节：《产量成本模型-要素拆解.md》 第 10 节「原型（示例）」；原型 prototype/run.py 输出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左图：总装 12 个月的需求（橙色）、产量（蓝色）和含加班的产能（灰色柱），柱顶标注当月选中的「JPH 档 × 班次」，可以看到旺季月份升到 36 档。右图：基准方案的年度成本构成（人工、能源固定/变动、班车、外包、加班、OH、缓存持有）。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基准结果（示例数据）：4 车间 × 3 车型 × 12 个月，约 430 个二进制变量，总成本 42,953 万元，年产量 120,000 台，零缺口，单车成本约 3,579 元（只含本模型覆盖的科目）。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要点：基准方案以「中档 JPH + 两班」为主，旺季升档；全部为示例数据，不是沃尔沃真实数据。</w:t>
      </w:r>
    </w:p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三、策略与场景结果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图7　策略对比与蒙特卡洛（示例数据）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3113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对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11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来源文件：策略对比.png　|　所属章节：《产量成本模型-要素拆解.md》 第 17.3 节「结果是区间和取舍，不是一个数」；原型 prototype/strategies.py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左图：五种策略/压力情形的全年总成本（红色为缺口惩罚）；中图：平均产能利用率；右图：固定 JPH 档 × 班次后，按月抽样需求 ±8%、抽 20 次的平均成本与缺口。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怎么读：稳定优先比成本优先贵约 2,531 万元（约 5.9%），换来约 10% 的产能余量和更少的加班与切换；保人力贵约 1,080 万元（约 2.5%），人数全年不变。需求 +20% 时，惩罚低模型宁可缺 10,878 台，惩罚高（20 万/台）则补足产能、零缺口。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蒙特卡洛：成本优先 20 次里有 18 次出现缺口，稳定优先每年多花约 2,000 万元换来不缺货。缺货惩罚设多高取决于边际利润，是业务决策，不是模型决策。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图8　压力测试：场景库、焊装停线扫描、需求上限（示例数据）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31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压力测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1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来源文件：压力测试.png　|　所属章节：《产量成本模型-要素拆解.md》 第 18.2–18.3 节；原型 prototype/stress_test.py、scenarios.py、data/scenario_library.csv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左图：预置场景库各场景的运营成本（不含惩罚），柱顶标注缺口和瓶颈车间，灰色为基准，红色为组合冲击。中图：焊装 6 月停线 0–10 天扫描，显示 5、6 月产量和 6 月加班小时：停 2 天加班先到上限，停 4 天升到 36 档，停 6 天及以上靠 5 月提前多做存进白车身缓存来补。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右图：全局需求系数 1.0–1.5（缺口惩罚 20 万元/台）下的全年缺口，示例数据下约 +20%~+30% 都能靠升档、三班和缓存吸收，超过约 1.3 倍开始缺货，先出现在 10–12 月旺季。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要点：压力测试回答「系统能吸收多少、先到顶的是哪个车间」，用于提前准备应急预案。瓶颈车间的判断只作参考 ⚠，真实工厂要看具体产能曲线。</w:t>
      </w:r>
    </w:p>
    <w:p>
      <w:r>
        <w:br w:type="page"/>
      </w:r>
    </w:p>
    <w:p>
      <w:pPr>
        <w:keepNext/>
        <w:spacing w:after="40" w:before="0"/>
      </w:pPr>
      <w:r>
        <w:rPr>
          <w:rFonts w:ascii="微软雅黑" w:hAnsi="微软雅黑" w:eastAsia="微软雅黑"/>
          <w:b/>
          <w:color w:val="1F3864"/>
          <w:sz w:val="24"/>
        </w:rPr>
        <w:t>四、合作与推广</w:t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图9　策略推荐的决策流程（结构化决策模型 + 人工把关）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1681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合作建议-策略决策流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168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来源文件：图表/合作建议-策略决策流程.png　|　所属章节：《AI&amp;Data组合作建议-产量成本模拟器.md》 第 4.B 节；同构流程见 《产量成本模型-要素拆解.md》 第 19.4 节（Laya）；mermaid 源文件：图表/合作建议-策略决策流程.mmd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业务事件或需求变化 → 结构化决策模型做场景识别 → 套用场景旋钮 → 求解器算方案 → 结构化决策模型做风险把关和策略建议 → 按置信度分三路：高置信度发布给业务、不确定交人工复核、高风险拦截并说明原因 → 全部决策留痕，挂到实体框架。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要点：Laya 类模型输出带概率的选择、打分和是非判断，不替代求解器算数。概率阈值（如 ≥0.8 自动、0.5–0.8 复核、&lt;0.5 拦截）只是示例 ⚠，需用历史场景测试集验证后再定；Jev 具体指哪个模型待确认 ⚠。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图10　合作路线图（甘特图）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540000" cy="21782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合作建议-路线图甘特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217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5A5A5A"/>
          <w:sz w:val="17"/>
        </w:rPr>
        <w:t>来源文件：图表/合作建议-路线图甘特图.png　|　所属章节：《AI&amp;Data组合作建议-产量成本模拟器.md》 第 6 节「分阶段路线图」；mermaid 源文件：图表/合作建议-路线图甘特图.mmd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四个阶段：阶段 0 联合诊断 2 周（摸清 demo、痛点清单、选定试点）→ 阶段 1 快速见效 4–6 周（试点参数入数仓并带版本/负责人，出首次对账报告）→ 阶段 2 平台化与小模型试点约一个季度（数据接入 + 质量规则 + 权限，需求/开动率小模型试点，LLM 解释与知识问答试点）→ 阶段 3 智能决策（场景库 + 自然语言场景、策略推荐与风险把关、多工厂扩展）。</w:t>
      </w:r>
    </w:p>
    <w:p>
      <w:pPr>
        <w:spacing w:after="40" w:before="0"/>
      </w:pPr>
      <w:r>
        <w:rPr>
          <w:rFonts w:ascii="微软雅黑" w:hAnsi="微软雅黑" w:eastAsia="微软雅黑"/>
          <w:b w:val="0"/>
          <w:sz w:val="19"/>
        </w:rPr>
        <w:t>要点：每个阶段结束开评审会，由业务部门决定是否进入下一阶段。起始日期 2026-11-02 为假设 ⚠，待确认。</w:t>
      </w:r>
    </w:p>
    <w:p>
      <w:r>
        <w:br w:type="page"/>
      </w:r>
    </w:p>
    <w:p>
      <w:pPr>
        <w:keepNext/>
        <w:spacing w:after="60" w:before="0"/>
      </w:pPr>
      <w:r>
        <w:rPr>
          <w:rFonts w:ascii="微软雅黑" w:hAnsi="微软雅黑" w:eastAsia="微软雅黑"/>
          <w:b/>
          <w:sz w:val="26"/>
        </w:rPr>
        <w:t>图11　多工厂复制与推广机制图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112"/>
        <w:gridCol w:w="3912"/>
      </w:tblGrid>
      <w:tr>
        <w:tc>
          <w:tcPr>
            <w:tcW w:type="dxa" w:w="11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8000" cy="489102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多工厂复制机制图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000" cy="4891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12"/>
          </w:tcPr>
          <w:p>
            <w:r>
              <w:rPr>
                <w:rFonts w:ascii="微软雅黑" w:hAnsi="微软雅黑" w:eastAsia="微软雅黑"/>
                <w:color w:val="5A5A5A"/>
                <w:sz w:val="17"/>
              </w:rPr>
              <w:t>来源文件：多工厂复制机制图.png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color w:val="5A5A5A"/>
                <w:sz w:val="17"/>
              </w:rPr>
              <w:t>所属章节：《产量成本模型-要素拆解.md》 第 21.1 节（详见第 21.2–21.9 节）；《AI&amp;Data组合作建议-产量成本模拟器.md》 第 11.2 节；生成脚本 prototype/plot_rollout.py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A 核心平台（实体框架、参数表标准、求解模型结构、成本子模块接口、策略/场景库、指标口径）+ B 工厂配置包（车间链、JPH 档、班次、费率、产能上限、本地规则）= 一个工厂实例。配置包进入 D 单厂上线六步：评估与差异分析 → 数据盘点与映射 → 参数配置与校准 → 历史回测对账 → 试运行并行 → 正式上线，每步一个验收门。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E 波次推广：W0 台州试点 → W1 1 个相近工厂 → W2 2–3 个工厂 → W3 其余工厂。F 需求回流：各厂需求经变更评审（通用进核心，本厂特有进配置包）后发布新核心版本，各厂回归测试后升级。C 组织与 AI 加速贯穿全程，AI 只提建议、人确认。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sz w:val="18"/>
              </w:rPr>
              <w:t>要点：换工厂只换配置，不改代码。工期、人天、波次和就绪度口径均为示例 ⚠，需在台州试点结束后按实际投入校准。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907" w:bottom="73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87878"/>
        <w:sz w:val="16"/>
      </w:rPr>
      <w:t xml:space="preserve">产量成本模拟器 重要图表汇编 · 示例结构/示例数据 · 第 </w:t>
    </w:r>
    <w:r>
      <w:rPr>
        <w:rFonts w:ascii="微软雅黑" w:hAnsi="微软雅黑" w:eastAsia="微软雅黑"/>
        <w:color w:val="787878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78787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