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Centermask复现分析及总结</w:t>
      </w: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1.数据集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COCO-Person类别，训练集共有64115张图片257253个人体实例，验证集共有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2693张图片10777个人体实例。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样本分布:大约 41% 的小目标 (area&lt;32×32), 34% 的中等目标 (32×32 &lt; area &lt;96×96), 和 24% 的大目标 (area&gt;96×96)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2.网络结构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训练采用网络结构为：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centermask-lite-V-19-eSE-slim-dw-FPN-ms-4x.pth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 &lt;其中：slim代表通道减半，dw代表使用深度可分离卷积,基于VoVNet2&gt;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实验结果分析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1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Recall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488950"/>
            <wp:effectExtent l="0" t="0" r="571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结论：根据不同目标尺寸大小的召回率对比情况，可知检测器对于小目标的检测效果还是不好。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2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AP</w:t>
      </w:r>
    </w:p>
    <w:p>
      <w:r>
        <w:drawing>
          <wp:inline distT="0" distB="0" distL="114300" distR="114300">
            <wp:extent cx="5273675" cy="665480"/>
            <wp:effectExtent l="0" t="0" r="317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22275"/>
            <wp:effectExtent l="0" t="0" r="10795" b="158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  <w:t>结论：APmask为42.4%，APbox为50.4%，其中AP50可以达到75.0%，与论文中的结果（APbox:35.9%,APmask:32.2%）相比，单独训练Person这一类别明显高于其80个类别的平均，从而证明，只要针对Person类别去训练优化，肯定会有较好的结果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sym w:font="Wingdings" w:char="F083"/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FPS</w:t>
      </w:r>
    </w:p>
    <w:p>
      <w:r>
        <w:drawing>
          <wp:inline distT="0" distB="0" distL="114300" distR="114300">
            <wp:extent cx="5273040" cy="535940"/>
            <wp:effectExtent l="0" t="0" r="3810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结论：可以达到实时性要求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t>adcase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36720" cy="2560320"/>
            <wp:effectExtent l="0" t="0" r="11430" b="11430"/>
            <wp:docPr id="13" name="图片 13" descr="00000000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000002299"/>
                    <pic:cNvPicPr>
                      <a:picLocks noChangeAspect="1"/>
                    </pic:cNvPicPr>
                  </pic:nvPicPr>
                  <pic:blipFill>
                    <a:blip r:embed="rId8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25290" cy="2812415"/>
            <wp:effectExtent l="0" t="0" r="3810" b="6985"/>
            <wp:docPr id="14" name="图片 14" descr="00000001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000018380"/>
                    <pic:cNvPicPr>
                      <a:picLocks noChangeAspect="1"/>
                    </pic:cNvPicPr>
                  </pic:nvPicPr>
                  <pic:blipFill>
                    <a:blip r:embed="rId9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4225290" cy="2623820"/>
            <wp:effectExtent l="0" t="0" r="3810" b="5080"/>
            <wp:docPr id="18" name="图片 18" descr="0000001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00001332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Good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65400" cy="1857375"/>
            <wp:effectExtent l="0" t="0" r="6350" b="9525"/>
            <wp:docPr id="16" name="图片 16" descr="000000109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00001099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36825" cy="1837055"/>
            <wp:effectExtent l="0" t="0" r="15875" b="10795"/>
            <wp:docPr id="17" name="图片 17" descr="00000013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0001329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72405" cy="3517265"/>
            <wp:effectExtent l="0" t="0" r="4445" b="6985"/>
            <wp:docPr id="19" name="图片 19" descr="00000014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0001429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667000" cy="1877695"/>
            <wp:effectExtent l="0" t="0" r="0" b="8255"/>
            <wp:docPr id="20" name="图片 20" descr="00000015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0001506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2568575" cy="1892935"/>
            <wp:effectExtent l="0" t="0" r="3175" b="12065"/>
            <wp:docPr id="21" name="图片 21" descr="00000015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00001518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总结：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  <w:t>整体而言，CenterMask在速度与精度上都有了很大的提升，但通过分析Badcase，发现对于密集型多目标（&gt;5/6）分割效果较差，而同样的问题在TensorMask中得到了解决，后续的工作可以多一方面这样的思考。基于centermask可以有更多的尝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附：TensorMask分割图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63695" cy="405701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>
                      <a:lum bright="12000"/>
                    </a:blip>
                    <a:srcRect l="3640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8140" cy="21475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C4D9F"/>
    <w:multiLevelType w:val="singleLevel"/>
    <w:tmpl w:val="5EFC4D9F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C5496D"/>
    <w:rsid w:val="31C5496D"/>
    <w:rsid w:val="41D07969"/>
    <w:rsid w:val="64F4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380</Words>
  <Characters>632</Characters>
  <Lines>0</Lines>
  <Paragraphs>0</Paragraphs>
  <ScaleCrop>false</ScaleCrop>
  <LinksUpToDate>false</LinksUpToDate>
  <CharactersWithSpaces>647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2020-07-01T09:11:00Z</dcterms:created>
  <dc:creator>S9029237</dc:creator>
  <cp:lastModifiedBy>S9029237</cp:lastModifiedBy>
  <dcterms:modified xsi:type="dcterms:W3CDTF">2020-07-01T09:23:47Z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