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0d2137"/>
          <w:sz w:val="36"/>
          <w:szCs w:val="36"/>
        </w:rPr>
        <w:t xml:space="preserve">Visualization Design Rationale</w:t>
      </w:r>
    </w:p>
    <w:p>
      <w:pPr>
        <w:spacing w:after="60"/>
        <w:jc w:val="center"/>
      </w:pPr>
      <w:r>
        <w:rPr>
          <w:i/>
          <w:iCs/>
          <w:color w:val="555555"/>
          <w:sz w:val="24"/>
          <w:szCs w:val="24"/>
        </w:rPr>
        <w:t xml:space="preserve">Visualizing S&amp;P 500 Volatility Regimes</w:t>
      </w:r>
    </w:p>
    <w:p>
      <w:pPr>
        <w:spacing w:after="60"/>
        <w:jc w:val="center"/>
      </w:pPr>
      <w:r>
        <w:rPr>
          <w:color w:val="777777"/>
          <w:sz w:val="20"/>
          <w:szCs w:val="20"/>
        </w:rPr>
        <w:t xml:space="preserve">DS4200 — Information Presentation and Data Visualization</w:t>
      </w:r>
    </w:p>
    <w:p>
      <w:pPr>
        <w:spacing w:after="300"/>
        <w:jc w:val="center"/>
      </w:pPr>
      <w:r>
        <w:rPr>
          <w:color w:val="1a5276"/>
          <w:sz w:val="20"/>
          <w:szCs w:val="20"/>
        </w:rPr>
        <w:t xml:space="preserve">Published website: [INSERT GITHUB PAGES URL HERE]</w:t>
      </w:r>
    </w:p>
    <w:p>
      <w:pPr>
        <w:pStyle w:val="Heading1"/>
      </w:pPr>
      <w:r>
        <w:t xml:space="preserve">Visualization 1: Sector Volatility Timeline</w:t>
      </w:r>
    </w:p>
    <w:p>
      <w:pPr>
        <w:spacing w:after="60"/>
      </w:pPr>
      <w:r>
        <w:rPr>
          <w:b/>
          <w:bCs/>
        </w:rPr>
        <w:t xml:space="preserve">Tool: </w:t>
      </w:r>
      <w:r>
        <w:t xml:space="preserve">Altair (Vega-Lite)  |  </w:t>
      </w:r>
      <w:r>
        <w:rPr>
          <w:b/>
          <w:bCs/>
        </w:rPr>
        <w:t xml:space="preserve">Type: </w:t>
      </w:r>
      <w:r>
        <w:t xml:space="preserve">Interactive (brush selection + tooltip)</w:t>
      </w:r>
    </w:p>
    <w:p>
      <w:pPr>
        <w:pStyle w:val="Heading2"/>
      </w:pPr>
      <w:r>
        <w:t xml:space="preserve">Design Idea</w:t>
      </w:r>
    </w:p>
    <w:p>
      <w:pPr>
        <w:spacing w:after="120"/>
      </w:pPr>
      <w:r>
        <w:t xml:space="preserve">We use a linked multi-panel layout with a normalized price chart on top, a volatility chart in the middle, and a compact overview at the bottom. The overview panel serves as a brush selector—users drag to select a date range, and both the price and volatility panels update to show that zoomed window. This “overview + detail” pattern follows Shneiderman’s information-seeking mantra: overview first, zoom and filter, then details on demand. Line marks convey continuity over time, and each ETF receives a consistent color identity used across all five visualizations. Tooltips on hover provide exact values for any day. Normalizing prices to a common base (100) ensures fair visual comparison across ETFs with different price levels.</w:t>
      </w:r>
    </w:p>
    <w:p>
      <w:pPr>
        <w:pStyle w:val="Heading2"/>
      </w:pPr>
      <w:r>
        <w:t xml:space="preserve">Takeaway</w:t>
      </w:r>
    </w:p>
    <w:p>
      <w:pPr>
        <w:spacing w:after="200"/>
      </w:pPr>
      <w:r>
        <w:t xml:space="preserve">Different sectors respond to volatility regimes with strikingly different magnitudes. Energy (XLE) shows the widest swings, while Healthcare (XLV) is more defensive. During the 2020 COVID crash, all sectors declined together, but recovery speed varied dramatically—Technology recovered fastest while Energy lagged for over a year. The volatility subplot reveals that sector volatilities converge during crises but diverge during calm periods.</w:t>
      </w:r>
    </w:p>
    <w:p>
      <w:pPr>
        <w:pStyle w:val="Heading1"/>
      </w:pPr>
      <w:r>
        <w:t xml:space="preserve">Visualization 2: Sector Correlation Heatmap</w:t>
      </w:r>
    </w:p>
    <w:p>
      <w:pPr>
        <w:spacing w:after="60"/>
      </w:pPr>
      <w:r>
        <w:rPr>
          <w:b/>
          <w:bCs/>
        </w:rPr>
        <w:t xml:space="preserve">Tool: </w:t>
      </w:r>
      <w:r>
        <w:t xml:space="preserve">D3.js  |  </w:t>
      </w:r>
      <w:r>
        <w:rPr>
          <w:b/>
          <w:bCs/>
        </w:rPr>
        <w:t xml:space="preserve">Type: </w:t>
      </w:r>
      <w:r>
        <w:t xml:space="preserve">Interactive (click toggle between regime states)</w:t>
      </w:r>
    </w:p>
    <w:p>
      <w:pPr>
        <w:pStyle w:val="Heading2"/>
      </w:pPr>
      <w:r>
        <w:t xml:space="preserve">Design Idea</w:t>
      </w:r>
    </w:p>
    <w:p>
      <w:pPr>
        <w:spacing w:after="120"/>
      </w:pPr>
      <w:r>
        <w:t xml:space="preserve">A matrix heatmap is the standard encoding for pairwise correlation because it allows viewers to scan an entire N×N relationship space at a glance. We use a diverging red–white–blue color scale where red indicates high positive correlation and blue indicates negative correlation, matching conventional financial color language. The key design feature is the three toggle buttons that let users switch between “All periods,” “Normal volatility,” and “High volatility” correlation matrices. Cell fills animate smoothly between states (500ms transition) so users can visually track which correlations strengthen or weaken across regimes. Correlation values appear directly on each cell for precision. This visualization was specifically added to address the professor’s feedback about showing cross-sector comparisons and patterns.</w:t>
      </w:r>
    </w:p>
    <w:p>
      <w:pPr>
        <w:pStyle w:val="Heading2"/>
      </w:pPr>
      <w:r>
        <w:t xml:space="preserve">Takeaway</w:t>
      </w:r>
    </w:p>
    <w:p>
      <w:pPr>
        <w:spacing w:after="200"/>
      </w:pPr>
      <w:r>
        <w:t xml:space="preserve">During high-volatility regimes, correlations between sectors increase substantially—sectors that normally show moderate correlation become tightly coupled as panic selling hits all assets simultaneously. This “correlation convergence” effect means that portfolios appearing diversified in calm markets may provide much less protection when it matters most. Energy (XLE) remains the most distinct sector across both regimes, offering genuine diversification value.</w:t>
      </w:r>
    </w:p>
    <w:p>
      <w:pPr>
        <w:pStyle w:val="Heading1"/>
      </w:pPr>
      <w:r>
        <w:t xml:space="preserve">Visualization 3: Volatility Regime Drivers</w:t>
      </w:r>
    </w:p>
    <w:p>
      <w:pPr>
        <w:spacing w:after="60"/>
      </w:pPr>
      <w:r>
        <w:rPr>
          <w:b/>
          <w:bCs/>
        </w:rPr>
        <w:t xml:space="preserve">Tool: </w:t>
      </w:r>
      <w:r>
        <w:t xml:space="preserve">Altair (Vega-Lite)  |  </w:t>
      </w:r>
      <w:r>
        <w:rPr>
          <w:b/>
          <w:bCs/>
        </w:rPr>
        <w:t xml:space="preserve">Type: </w:t>
      </w:r>
      <w:r>
        <w:t xml:space="preserve">Static</w:t>
      </w:r>
    </w:p>
    <w:p>
      <w:pPr>
        <w:pStyle w:val="Heading2"/>
      </w:pPr>
      <w:r>
        <w:t xml:space="preserve">Design Idea</w:t>
      </w:r>
    </w:p>
    <w:p>
      <w:pPr>
        <w:spacing w:after="120"/>
      </w:pPr>
      <w:r>
        <w:t xml:space="preserve">A horizontal bar chart is the most effective encoding for ranking because bar length directly maps to a quantitative variable and vertical position naturally creates a ranked list. Features are sorted from most to least important, making the hierarchy immediately visible. Bars are color-coded by feature category (Macroeconomic, Volatility, Momentum, etc.) so viewers can see at a glance which signal types dominate. Value labels at the end of each bar provide precision. This is intentionally static—the message is simple and singular: macroeconomic factors drive volatility regimes more than technical indicators. Adding interaction would not enhance this message. Corner radius on bars softens the appearance and the category legend uses a horizontal layout to conserve vertical space.</w:t>
      </w:r>
    </w:p>
    <w:p>
      <w:pPr>
        <w:pStyle w:val="Heading2"/>
      </w:pPr>
      <w:r>
        <w:t xml:space="preserve">Takeaway</w:t>
      </w:r>
    </w:p>
    <w:p>
      <w:pPr>
        <w:spacing w:after="200"/>
      </w:pPr>
      <w:r>
        <w:t xml:space="preserve">Federal Reserve policy (Fed Funds Rate, 12.6%) and market fear (VIX, 10.9%) are the strongest predictors of volatility regimes, followed by 6-month price momentum (10.2%). This finding suggests that volatility regimes are fundamentally driven by macroeconomic conditions rather than short-term technical patterns, which has important implications for investors trying to anticipate risk.</w:t>
      </w:r>
    </w:p>
    <w:p>
      <w:pPr>
        <w:pStyle w:val="Heading1"/>
      </w:pPr>
      <w:r>
        <w:t xml:space="preserve">Visualization 4: Portfolio Strategy Comparison</w:t>
      </w:r>
    </w:p>
    <w:p>
      <w:pPr>
        <w:spacing w:after="60"/>
      </w:pPr>
      <w:r>
        <w:rPr>
          <w:b/>
          <w:bCs/>
        </w:rPr>
        <w:t xml:space="preserve">Tool: </w:t>
      </w:r>
      <w:r>
        <w:t xml:space="preserve">Altair / D3.js  |  </w:t>
      </w:r>
      <w:r>
        <w:rPr>
          <w:b/>
          <w:bCs/>
        </w:rPr>
        <w:t xml:space="preserve">Type: </w:t>
      </w:r>
      <w:r>
        <w:t xml:space="preserve">Interactive (dropdown selection)</w:t>
      </w:r>
    </w:p>
    <w:p>
      <w:pPr>
        <w:pStyle w:val="Heading2"/>
      </w:pPr>
      <w:r>
        <w:t xml:space="preserve">Design Idea</w:t>
      </w:r>
    </w:p>
    <w:p>
      <w:pPr>
        <w:spacing w:after="120"/>
      </w:pPr>
      <w:r>
        <w:t xml:space="preserve">Cumulative return lines are the industry standard for comparing investment strategies because they show both total performance and the path taken—including drawdowns and recoveries. We plot the dynamic volatility strategy (solid line) against buy-and-hold (dashed line) for each ETF. A dropdown selector lets users isolate a single sector for detailed comparison with a statistics panel showing return, max drawdown, and improvement metrics. Dashed strokes for buy-and-hold create immediate visual distinction without relying on color alone, improving accessibility. A horizontal reference line at 1.0 (the starting value) marks the breakeven point.</w:t>
      </w:r>
    </w:p>
    <w:p>
      <w:pPr>
        <w:pStyle w:val="Heading2"/>
      </w:pPr>
      <w:r>
        <w:t xml:space="preserve">Takeaway</w:t>
      </w:r>
    </w:p>
    <w:p>
      <w:pPr>
        <w:spacing w:after="200"/>
      </w:pPr>
      <w:r>
        <w:t xml:space="preserve">The dynamic strategy consistently reduces maximum drawdown across all sectors (typically by 40–55%) at the cost of 2–5% total return. Defensive sectors like Healthcare see minimal benefit since they already have lower drawdowns, while volatile sectors like Energy and Technology benefit most from dynamic allocation. The improved Sharpe ratio demonstrates that the return sacrifice is more than compensated by risk reduction.</w:t>
      </w:r>
    </w:p>
    <w:p>
      <w:pPr>
        <w:pStyle w:val="Heading1"/>
      </w:pPr>
      <w:r>
        <w:t xml:space="preserve">Visualization 5: Return Distribution by Regime</w:t>
      </w:r>
    </w:p>
    <w:p>
      <w:pPr>
        <w:spacing w:after="60"/>
      </w:pPr>
      <w:r>
        <w:rPr>
          <w:b/>
          <w:bCs/>
        </w:rPr>
        <w:t xml:space="preserve">Tool: </w:t>
      </w:r>
      <w:r>
        <w:t xml:space="preserve">D3.js  |  </w:t>
      </w:r>
      <w:r>
        <w:rPr>
          <w:b/>
          <w:bCs/>
        </w:rPr>
        <w:t xml:space="preserve">Type: </w:t>
      </w:r>
      <w:r>
        <w:t xml:space="preserve">Interactive (dropdown filter + animated transitions)</w:t>
      </w:r>
    </w:p>
    <w:p>
      <w:pPr>
        <w:pStyle w:val="Heading2"/>
      </w:pPr>
      <w:r>
        <w:t xml:space="preserve">Design Idea</w:t>
      </w:r>
    </w:p>
    <w:p>
      <w:pPr>
        <w:spacing w:after="120"/>
      </w:pPr>
      <w:r>
        <w:t xml:space="preserve">Overlapping histograms are the most intuitive way to compare two distributions because viewers can directly see differences in spread, center, and shape. Semi-transparent fills (opacity 0.5) ensure both distributions remain visible where they overlap. Blue represents normal volatility and red represents high volatility—colors chosen for intuitive association with calm and danger, matching the color language used across all five visualizations. Two dropdown filters (sector and year) enable both cross-sectional and temporal comparisons. Animated transitions (500ms) on bar heights when filters change help users track how the distribution morphs, preventing “change blindness.” A statistics panel provides exact mean and standard deviation values for both regimes.</w:t>
      </w:r>
    </w:p>
    <w:p>
      <w:pPr>
        <w:pStyle w:val="Heading2"/>
      </w:pPr>
      <w:r>
        <w:t xml:space="preserve">Takeaway</w:t>
      </w:r>
    </w:p>
    <w:p>
      <w:pPr>
        <w:spacing w:after="100"/>
      </w:pPr>
      <w:r>
        <w:t xml:space="preserve">High-volatility regime returns are not just wider (higher standard deviation) but also more negatively skewed—the left tail extends further, meaning large losses are more common. The effect is most dramatic for Energy (XLE), where high-regime daily returns regularly exceed ±4% compared to ±1.5% during normal periods. This visual evidence supports why risk management during high-volatility regimes is critical, especially in cyclical sectors.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a5276" w:sz="4" w:space="8"/>
      </w:pBdr>
      <w:spacing w:before="360" w:after="160"/>
      <w:outlineLvl w:val="0"/>
    </w:pPr>
    <w:rPr>
      <w:rFonts w:ascii="Arial" w:cs="Arial" w:eastAsia="Arial" w:hAnsi="Arial"/>
      <w:b/>
      <w:bCs/>
      <w:color w:val="0d2137"/>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2026-04-06T05:25:31.160Z</dcterms:created>
  <dcterms:modified xsi:type="dcterms:W3CDTF">2026-04-06T05:25:31.161Z</dcterms:modified>
</cp:coreProperties>
</file>

<file path=docProps/custom.xml><?xml version="1.0" encoding="utf-8"?>
<Properties xmlns="http://schemas.openxmlformats.org/officeDocument/2006/custom-properties" xmlns:vt="http://schemas.openxmlformats.org/officeDocument/2006/docPropsVTypes"/>
</file>