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15" w:rsidRDefault="00374815" w:rsidP="00771D4A">
      <w:pPr>
        <w:rPr>
          <w:b/>
        </w:rPr>
      </w:pPr>
      <w:r>
        <w:rPr>
          <w:b/>
        </w:rPr>
        <w:br/>
        <w:t>Along the x-axis is the cycle#, and the number of accesses per section is along the y-axis.</w:t>
      </w:r>
      <w:r w:rsidR="00771D4A">
        <w:rPr>
          <w:b/>
        </w:rPr>
        <w:br/>
      </w:r>
      <w:proofErr w:type="spellStart"/>
      <w:r w:rsidR="00771D4A">
        <w:rPr>
          <w:b/>
        </w:rPr>
        <w:t>ReadExcel</w:t>
      </w:r>
      <w:proofErr w:type="spellEnd"/>
      <w:r w:rsidR="00771D4A">
        <w:rPr>
          <w:b/>
        </w:rPr>
        <w:t xml:space="preserve"> and Write accesses are indicated in two different graphs whenever needed.</w:t>
      </w:r>
      <w:r>
        <w:rPr>
          <w:b/>
        </w:rPr>
        <w:br/>
      </w:r>
      <w:r>
        <w:rPr>
          <w:b/>
        </w:rPr>
        <w:br/>
      </w:r>
      <w:proofErr w:type="spellStart"/>
      <w:proofErr w:type="gramStart"/>
      <w:r>
        <w:rPr>
          <w:b/>
        </w:rPr>
        <w:t>a</w:t>
      </w:r>
      <w:r w:rsidR="008F6F45" w:rsidRPr="008F6F45">
        <w:rPr>
          <w:b/>
        </w:rPr>
        <w:t>pplu</w:t>
      </w:r>
      <w:proofErr w:type="spellEnd"/>
      <w:proofErr w:type="gramEnd"/>
      <w:r w:rsidR="00CA535D">
        <w:rPr>
          <w:b/>
        </w:rPr>
        <w:br/>
      </w:r>
      <w:r>
        <w:rPr>
          <w:noProof/>
        </w:rPr>
        <w:drawing>
          <wp:inline distT="0" distB="0" distL="0" distR="0" wp14:anchorId="08777E70" wp14:editId="6B3A3DD1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771D4A">
        <w:rPr>
          <w:b/>
        </w:rPr>
        <w:br/>
      </w:r>
      <w:r w:rsidR="00C81CA1">
        <w:t>The number of clean reads start at 86, but then level off after 100000 cycles and stay at approximately 65 for the remainder of the trace.</w:t>
      </w:r>
      <w:r w:rsidR="00E31427">
        <w:t xml:space="preserve">  In other words, data is constantly being moved between the higher caches and memory with the LLC.</w:t>
      </w:r>
      <w:r w:rsidR="00E31427"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  <w:r w:rsidR="000920A1">
        <w:rPr>
          <w:b/>
        </w:rPr>
        <w:br/>
      </w:r>
    </w:p>
    <w:p w:rsidR="00127915" w:rsidRDefault="00127915" w:rsidP="00771D4A">
      <w:pPr>
        <w:rPr>
          <w:b/>
        </w:rPr>
      </w:pPr>
    </w:p>
    <w:p w:rsidR="00771D4A" w:rsidRPr="00E31427" w:rsidRDefault="000920A1" w:rsidP="00771D4A">
      <w:pPr>
        <w:rPr>
          <w:b/>
        </w:rPr>
      </w:pPr>
      <w:bookmarkStart w:id="0" w:name="_GoBack"/>
      <w:bookmarkEnd w:id="0"/>
      <w:r>
        <w:rPr>
          <w:b/>
        </w:rPr>
        <w:br/>
      </w:r>
      <w:r w:rsidR="008F6F45" w:rsidRPr="008F6F45">
        <w:rPr>
          <w:b/>
        </w:rPr>
        <w:br/>
      </w:r>
      <w:proofErr w:type="spellStart"/>
      <w:proofErr w:type="gramStart"/>
      <w:r w:rsidR="008F6F45" w:rsidRPr="008F6F45">
        <w:rPr>
          <w:b/>
        </w:rPr>
        <w:lastRenderedPageBreak/>
        <w:t>apsi</w:t>
      </w:r>
      <w:proofErr w:type="spellEnd"/>
      <w:proofErr w:type="gramEnd"/>
      <w:r w:rsidR="00374815">
        <w:rPr>
          <w:b/>
        </w:rPr>
        <w:br/>
      </w:r>
      <w:r w:rsidR="00374815">
        <w:rPr>
          <w:noProof/>
        </w:rPr>
        <w:drawing>
          <wp:inline distT="0" distB="0" distL="0" distR="0" wp14:anchorId="2642E551" wp14:editId="6F641563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74815">
        <w:rPr>
          <w:b/>
        </w:rPr>
        <w:br/>
      </w:r>
      <w:r w:rsidR="00C81CA1">
        <w:t>The number of accesses jumps between 312 and 310, which is relatively constant, across all intervals.</w:t>
      </w:r>
    </w:p>
    <w:p w:rsidR="00E31427" w:rsidRDefault="00374815" w:rsidP="00E31427">
      <w:pPr>
        <w:rPr>
          <w:b/>
        </w:rPr>
      </w:pPr>
      <w:r>
        <w:rPr>
          <w:b/>
        </w:rPr>
        <w:br/>
      </w:r>
      <w:r>
        <w:rPr>
          <w:noProof/>
        </w:rPr>
        <w:drawing>
          <wp:inline distT="0" distB="0" distL="0" distR="0" wp14:anchorId="11A70195" wp14:editId="4EF45EE9">
            <wp:extent cx="455295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/>
        </w:rPr>
        <w:br/>
      </w:r>
      <w:r w:rsidR="009A3A8D" w:rsidRPr="000920A1">
        <w:t>There are no writes for the first 300000 cycles, but this jumps to 310 per interval at around 400000 cycles in.  This indicates a heavy overhead in the mid to latter stages of the operation of this workload (as there will be more L1 and L2 cache misses with regard to the beginning).</w:t>
      </w:r>
      <w:r w:rsidR="009A3A8D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8F6F45" w:rsidRPr="008F6F45">
        <w:rPr>
          <w:b/>
        </w:rPr>
        <w:br/>
      </w:r>
      <w:r w:rsidR="00CA535D">
        <w:rPr>
          <w:b/>
        </w:rPr>
        <w:lastRenderedPageBreak/>
        <w:t>a</w:t>
      </w:r>
      <w:r w:rsidR="008F6F45" w:rsidRPr="008F6F45">
        <w:rPr>
          <w:b/>
        </w:rPr>
        <w:t>rt_470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0FE9E9D0" wp14:editId="1BBB89E3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1427" w:rsidRPr="00E31427" w:rsidRDefault="00E31427" w:rsidP="00E31427">
      <w:pPr>
        <w:rPr>
          <w:b/>
        </w:rPr>
      </w:pPr>
      <w:r>
        <w:rPr>
          <w:b/>
        </w:rPr>
        <w:t>Again, we have a relatively constant cycles/interval value.</w:t>
      </w:r>
      <w:r w:rsidR="009A3A8D">
        <w:rPr>
          <w:b/>
        </w:rPr>
        <w:t xml:space="preserve">  At the very end though, it seems that there is a small amount of read accesses. </w:t>
      </w:r>
    </w:p>
    <w:p w:rsidR="00E31427" w:rsidRPr="009A3A8D" w:rsidRDefault="008F6F45" w:rsidP="00E31427">
      <w:r w:rsidRPr="008F6F45">
        <w:rPr>
          <w:b/>
        </w:rPr>
        <w:br/>
      </w:r>
      <w:proofErr w:type="gramStart"/>
      <w:r w:rsidRPr="008F6F45">
        <w:rPr>
          <w:b/>
        </w:rPr>
        <w:t>bwaves_06</w:t>
      </w:r>
      <w:proofErr w:type="gramEnd"/>
      <w:r w:rsidRPr="008F6F45">
        <w:rPr>
          <w:b/>
        </w:rPr>
        <w:br/>
      </w:r>
      <w:r w:rsidR="00374815">
        <w:rPr>
          <w:noProof/>
        </w:rPr>
        <w:drawing>
          <wp:inline distT="0" distB="0" distL="0" distR="0" wp14:anchorId="31CCBFA5" wp14:editId="16E0ECF8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74815">
        <w:rPr>
          <w:b/>
        </w:rPr>
        <w:br/>
      </w:r>
      <w:r w:rsidR="009A3A8D" w:rsidRPr="009A3A8D">
        <w:t>Reads are relatively sporadic through the operation of this workload, but are always at or higher than 538 per interval, which indicates that we are having a significant amount of cache misses for every 50000 cycles.</w:t>
      </w:r>
      <w:r w:rsidR="009A3A8D">
        <w:rPr>
          <w:b/>
        </w:rPr>
        <w:t xml:space="preserve"> </w:t>
      </w:r>
      <w:r w:rsidR="00374815">
        <w:rPr>
          <w:b/>
        </w:rPr>
        <w:br/>
      </w:r>
      <w:r w:rsidR="00374815">
        <w:rPr>
          <w:noProof/>
        </w:rPr>
        <w:lastRenderedPageBreak/>
        <w:drawing>
          <wp:inline distT="0" distB="0" distL="0" distR="0" wp14:anchorId="38DDB76F" wp14:editId="2CD2F717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74815">
        <w:rPr>
          <w:b/>
        </w:rPr>
        <w:br/>
      </w:r>
      <w:r w:rsidR="00374815">
        <w:rPr>
          <w:b/>
        </w:rPr>
        <w:br/>
      </w:r>
      <w:proofErr w:type="gramStart"/>
      <w:r w:rsidRPr="008F6F45">
        <w:rPr>
          <w:b/>
        </w:rPr>
        <w:t>bzip2_source</w:t>
      </w:r>
      <w:proofErr w:type="gramEnd"/>
      <w:r w:rsidR="00374815">
        <w:rPr>
          <w:b/>
        </w:rPr>
        <w:br/>
      </w:r>
      <w:r w:rsidR="00374815">
        <w:rPr>
          <w:noProof/>
        </w:rPr>
        <w:drawing>
          <wp:inline distT="0" distB="0" distL="0" distR="0" wp14:anchorId="345DF80F" wp14:editId="140234F6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56E66">
        <w:rPr>
          <w:b/>
        </w:rPr>
        <w:br/>
      </w:r>
      <w:r w:rsidR="00E7439A" w:rsidRPr="009A3A8D">
        <w:t>We have a relatively constant amount of read accesses over the 50,000 cycle intervals, ranging from 251 to 241 cycles/interval.</w:t>
      </w:r>
    </w:p>
    <w:p w:rsidR="00374815" w:rsidRDefault="00E7439A" w:rsidP="008F6F45">
      <w:pPr>
        <w:rPr>
          <w:b/>
        </w:rPr>
      </w:pPr>
      <w:r w:rsidRPr="009A3A8D">
        <w:br/>
      </w:r>
      <w:r w:rsidR="00374815">
        <w:rPr>
          <w:b/>
        </w:rPr>
        <w:br/>
      </w:r>
      <w:r w:rsidR="00374815">
        <w:rPr>
          <w:noProof/>
        </w:rPr>
        <w:lastRenderedPageBreak/>
        <w:drawing>
          <wp:inline distT="0" distB="0" distL="0" distR="0" wp14:anchorId="5AFC8B44" wp14:editId="25779CCD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374815">
        <w:rPr>
          <w:b/>
        </w:rPr>
        <w:br/>
      </w:r>
      <w:r w:rsidR="00456E66" w:rsidRPr="009A3A8D">
        <w:t>We are writing 250 cycles per interval for all intervals for this workload.</w:t>
      </w:r>
      <w:r w:rsidR="00456E66">
        <w:rPr>
          <w:b/>
        </w:rPr>
        <w:br/>
      </w:r>
      <w:r w:rsidR="008F6F45" w:rsidRPr="008F6F45">
        <w:rPr>
          <w:b/>
        </w:rPr>
        <w:br/>
      </w:r>
      <w:proofErr w:type="gramStart"/>
      <w:r w:rsidR="00CA535D">
        <w:rPr>
          <w:b/>
        </w:rPr>
        <w:t>c</w:t>
      </w:r>
      <w:r w:rsidR="008F6F45" w:rsidRPr="008F6F45">
        <w:rPr>
          <w:b/>
        </w:rPr>
        <w:t>actusADM_06</w:t>
      </w:r>
      <w:proofErr w:type="gramEnd"/>
      <w:r w:rsidR="00374815">
        <w:rPr>
          <w:b/>
        </w:rPr>
        <w:br/>
      </w:r>
      <w:r w:rsidR="00374815">
        <w:rPr>
          <w:noProof/>
        </w:rPr>
        <w:drawing>
          <wp:inline distT="0" distB="0" distL="0" distR="0" wp14:anchorId="78C729EE" wp14:editId="0BA077EA">
            <wp:extent cx="527685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8F6F45" w:rsidRPr="008F6F45">
        <w:rPr>
          <w:b/>
        </w:rPr>
        <w:br/>
      </w:r>
      <w:r w:rsidR="008F6F45">
        <w:t>For this benchmark, we have two writes: one at cycle 931168, the other at cycle 1103207.</w:t>
      </w:r>
      <w:r w:rsidR="00456E66">
        <w:br/>
        <w:t>Otherwise, we are continuing to read from the L3 cache, but starting around 240 cycles per interval, we end up steadily decreasing until we are below 50 cycles per interval.</w:t>
      </w:r>
      <w:r w:rsidR="00456E66">
        <w:br/>
      </w:r>
      <w:r w:rsidR="00BC1DAB">
        <w:br/>
      </w:r>
      <w:r w:rsidR="00BC1DAB">
        <w:br/>
      </w:r>
      <w:r w:rsidR="00BC1DAB">
        <w:br/>
      </w:r>
      <w:r w:rsidR="00BC1DAB">
        <w:br/>
      </w:r>
      <w:r w:rsidR="00BC1DAB">
        <w:br/>
      </w:r>
      <w:r w:rsidR="00BC1DAB">
        <w:br/>
      </w:r>
      <w:r w:rsidR="00020FF2">
        <w:br/>
      </w:r>
      <w:proofErr w:type="spellStart"/>
      <w:proofErr w:type="gramStart"/>
      <w:r w:rsidR="002A5A7B" w:rsidRPr="002A5A7B">
        <w:rPr>
          <w:b/>
        </w:rPr>
        <w:lastRenderedPageBreak/>
        <w:t>applu~</w:t>
      </w:r>
      <w:proofErr w:type="gramEnd"/>
      <w:r w:rsidR="002A5A7B" w:rsidRPr="002A5A7B">
        <w:rPr>
          <w:b/>
        </w:rPr>
        <w:t>apsi</w:t>
      </w:r>
      <w:proofErr w:type="spellEnd"/>
      <w:r w:rsidR="00374815">
        <w:rPr>
          <w:b/>
        </w:rPr>
        <w:br/>
      </w:r>
      <w:r w:rsidR="00374815">
        <w:rPr>
          <w:noProof/>
        </w:rPr>
        <w:drawing>
          <wp:inline distT="0" distB="0" distL="0" distR="0" wp14:anchorId="2625076E" wp14:editId="759ABC02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374815">
        <w:rPr>
          <w:b/>
        </w:rPr>
        <w:br/>
      </w:r>
      <w:r w:rsidR="00456E66" w:rsidRPr="009A3A8D">
        <w:t>The reads are relatively sporadic, but they generally center around 375 cycles per interval.</w:t>
      </w:r>
      <w:r w:rsidR="00E31427" w:rsidRPr="009A3A8D">
        <w:t xml:space="preserve">  This could be </w:t>
      </w:r>
      <w:r w:rsidR="009A3A8D" w:rsidRPr="009A3A8D">
        <w:t>that there are fewer cache misses in the higher level caches of the memory hierarchy.</w:t>
      </w:r>
      <w:r w:rsidR="00374815" w:rsidRPr="009A3A8D">
        <w:br/>
      </w:r>
      <w:r w:rsidR="00374815">
        <w:rPr>
          <w:b/>
        </w:rPr>
        <w:br/>
      </w:r>
      <w:r w:rsidR="00374815">
        <w:rPr>
          <w:b/>
        </w:rPr>
        <w:br/>
      </w:r>
      <w:r w:rsidR="00374815">
        <w:rPr>
          <w:noProof/>
        </w:rPr>
        <w:drawing>
          <wp:inline distT="0" distB="0" distL="0" distR="0" wp14:anchorId="4BE2FDFE" wp14:editId="7670A6AC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31427" w:rsidRPr="00E31427" w:rsidRDefault="00456E66" w:rsidP="00E31427">
      <w:pPr>
        <w:rPr>
          <w:b/>
        </w:rPr>
      </w:pPr>
      <w:r w:rsidRPr="009A3A8D">
        <w:t>Initially, there are no writes to the cache, but after approximately 300000 cycles, there is a huge increase and there is approximately 310 cycles per interval after this period.</w:t>
      </w:r>
      <w:r w:rsidR="009A3A8D" w:rsidRPr="009A3A8D">
        <w:t xml:space="preserve">  Perhaps this is the point where L1 and L2 are full and we are filling more of the contents of L3.</w:t>
      </w:r>
      <w:r w:rsidR="009A3A8D">
        <w:rPr>
          <w:b/>
        </w:rPr>
        <w:br/>
      </w:r>
      <w:r w:rsidR="009A3A8D">
        <w:rPr>
          <w:b/>
        </w:rPr>
        <w:br/>
      </w:r>
      <w:r w:rsidR="009A3A8D">
        <w:rPr>
          <w:b/>
        </w:rPr>
        <w:br/>
      </w:r>
      <w:r w:rsidR="009A3A8D">
        <w:rPr>
          <w:b/>
        </w:rPr>
        <w:br/>
      </w:r>
      <w:r w:rsidR="009A3A8D">
        <w:rPr>
          <w:b/>
        </w:rPr>
        <w:br/>
      </w:r>
      <w:r w:rsidR="002A5A7B" w:rsidRPr="002A5A7B">
        <w:rPr>
          <w:b/>
        </w:rPr>
        <w:br/>
      </w:r>
      <w:r w:rsidR="002A5A7B" w:rsidRPr="002A5A7B">
        <w:rPr>
          <w:b/>
        </w:rPr>
        <w:lastRenderedPageBreak/>
        <w:t>art_470~bwaves_06</w:t>
      </w:r>
      <w:r w:rsidR="00374815">
        <w:rPr>
          <w:b/>
        </w:rPr>
        <w:br/>
      </w:r>
      <w:r w:rsidR="00374815">
        <w:rPr>
          <w:noProof/>
        </w:rPr>
        <w:drawing>
          <wp:inline distT="0" distB="0" distL="0" distR="0" wp14:anchorId="6421A8C6" wp14:editId="7A549BED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374815">
        <w:rPr>
          <w:b/>
        </w:rPr>
        <w:br/>
      </w:r>
      <w:r w:rsidR="00843A2F" w:rsidRPr="009A3A8D">
        <w:t>The number of read accesses to the L3 cache is relatively large after our 1,000,000 cycle forwarding, with over 1200 per 500000 cycles, but then drops suddenly drops to 0 read accesses.</w:t>
      </w:r>
    </w:p>
    <w:p w:rsidR="00B4498D" w:rsidRPr="008F6F45" w:rsidRDefault="00374815" w:rsidP="008F6F45">
      <w:r>
        <w:rPr>
          <w:b/>
        </w:rPr>
        <w:br/>
      </w:r>
      <w:r>
        <w:rPr>
          <w:noProof/>
        </w:rPr>
        <w:drawing>
          <wp:inline distT="0" distB="0" distL="0" distR="0" wp14:anchorId="4DEFF13C" wp14:editId="57D375EB">
            <wp:extent cx="4572000" cy="2743200"/>
            <wp:effectExtent l="0" t="0" r="19050" b="190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b/>
        </w:rPr>
        <w:br/>
      </w:r>
      <w:r w:rsidR="008107E1" w:rsidRPr="009A3A8D">
        <w:t>The same goes for the number of write accesses to this cache.</w:t>
      </w:r>
      <w:r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BC1DAB">
        <w:rPr>
          <w:b/>
        </w:rPr>
        <w:br/>
      </w:r>
      <w:r w:rsidR="002A5A7B" w:rsidRPr="002A5A7B">
        <w:rPr>
          <w:b/>
        </w:rPr>
        <w:br/>
      </w:r>
      <w:r w:rsidR="002A5A7B" w:rsidRPr="002A5A7B">
        <w:rPr>
          <w:b/>
        </w:rPr>
        <w:lastRenderedPageBreak/>
        <w:t>bzip2_source~cactusADM_06</w:t>
      </w:r>
      <w:r>
        <w:rPr>
          <w:b/>
        </w:rP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19027472" wp14:editId="61330220">
            <wp:extent cx="4572000" cy="2743200"/>
            <wp:effectExtent l="0" t="0" r="19050" b="190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b/>
        </w:rPr>
        <w:br/>
      </w:r>
      <w:proofErr w:type="gramStart"/>
      <w:r w:rsidR="00843A2F" w:rsidRPr="00843A2F">
        <w:t>The</w:t>
      </w:r>
      <w:proofErr w:type="gramEnd"/>
      <w:r w:rsidR="00843A2F" w:rsidRPr="00843A2F">
        <w:t xml:space="preserve"> number of read accesses is distributed relatively normally.</w:t>
      </w:r>
      <w:r>
        <w:rPr>
          <w:b/>
        </w:rPr>
        <w:br/>
      </w:r>
      <w:r>
        <w:rPr>
          <w:noProof/>
        </w:rPr>
        <w:drawing>
          <wp:inline distT="0" distB="0" distL="0" distR="0" wp14:anchorId="17AF2403" wp14:editId="25C9D129">
            <wp:extent cx="4572000" cy="2743200"/>
            <wp:effectExtent l="0" t="0" r="19050" b="1905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843A2F">
        <w:rPr>
          <w:b/>
        </w:rPr>
        <w:br/>
      </w:r>
      <w:r w:rsidR="00843A2F">
        <w:t>The number of write accesses for this workload is less evenly distributed.</w:t>
      </w:r>
    </w:p>
    <w:sectPr w:rsidR="00B4498D" w:rsidRPr="008F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ED"/>
    <w:rsid w:val="00020FF2"/>
    <w:rsid w:val="000920A1"/>
    <w:rsid w:val="00127915"/>
    <w:rsid w:val="002A5A7B"/>
    <w:rsid w:val="00374815"/>
    <w:rsid w:val="00456E66"/>
    <w:rsid w:val="00771D4A"/>
    <w:rsid w:val="008107E1"/>
    <w:rsid w:val="00827CED"/>
    <w:rsid w:val="00843A2F"/>
    <w:rsid w:val="008F6F45"/>
    <w:rsid w:val="009A3A8D"/>
    <w:rsid w:val="00B4498D"/>
    <w:rsid w:val="00BC1DAB"/>
    <w:rsid w:val="00C81CA1"/>
    <w:rsid w:val="00CA535D"/>
    <w:rsid w:val="00E31427"/>
    <w:rsid w:val="00E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7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remy\Desktop\Combined%2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ReadExcl Accesses vs. Cycle</a:t>
            </a:r>
            <a:r>
              <a:rPr lang="en-US" baseline="0"/>
              <a:t>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applu!$E$2:$E$21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applu!$F$2:$F$21</c:f>
              <c:numCache>
                <c:formatCode>General</c:formatCode>
                <c:ptCount val="20"/>
                <c:pt idx="0">
                  <c:v>86</c:v>
                </c:pt>
                <c:pt idx="1">
                  <c:v>66</c:v>
                </c:pt>
                <c:pt idx="2">
                  <c:v>66</c:v>
                </c:pt>
                <c:pt idx="3">
                  <c:v>66</c:v>
                </c:pt>
                <c:pt idx="4">
                  <c:v>65</c:v>
                </c:pt>
                <c:pt idx="5">
                  <c:v>65</c:v>
                </c:pt>
                <c:pt idx="6">
                  <c:v>66</c:v>
                </c:pt>
                <c:pt idx="7">
                  <c:v>65</c:v>
                </c:pt>
                <c:pt idx="8">
                  <c:v>65</c:v>
                </c:pt>
                <c:pt idx="9">
                  <c:v>66</c:v>
                </c:pt>
                <c:pt idx="10">
                  <c:v>66</c:v>
                </c:pt>
                <c:pt idx="11">
                  <c:v>65</c:v>
                </c:pt>
                <c:pt idx="12">
                  <c:v>66</c:v>
                </c:pt>
                <c:pt idx="13">
                  <c:v>65</c:v>
                </c:pt>
                <c:pt idx="14">
                  <c:v>66</c:v>
                </c:pt>
                <c:pt idx="15">
                  <c:v>65</c:v>
                </c:pt>
                <c:pt idx="16">
                  <c:v>65</c:v>
                </c:pt>
                <c:pt idx="17">
                  <c:v>66</c:v>
                </c:pt>
                <c:pt idx="18">
                  <c:v>65</c:v>
                </c:pt>
                <c:pt idx="19">
                  <c:v>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872832"/>
        <c:axId val="219067136"/>
      </c:scatterChart>
      <c:valAx>
        <c:axId val="218872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067136"/>
        <c:crosses val="autoZero"/>
        <c:crossBetween val="midCat"/>
      </c:valAx>
      <c:valAx>
        <c:axId val="219067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8872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'applu~apsi'!$E$2:$E$21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'applu~apsi'!$F$2:$F$21</c:f>
              <c:numCache>
                <c:formatCode>General</c:formatCode>
                <c:ptCount val="20"/>
                <c:pt idx="0">
                  <c:v>376</c:v>
                </c:pt>
                <c:pt idx="1">
                  <c:v>375</c:v>
                </c:pt>
                <c:pt idx="2">
                  <c:v>375</c:v>
                </c:pt>
                <c:pt idx="3">
                  <c:v>378</c:v>
                </c:pt>
                <c:pt idx="4">
                  <c:v>372</c:v>
                </c:pt>
                <c:pt idx="5">
                  <c:v>376</c:v>
                </c:pt>
                <c:pt idx="6">
                  <c:v>374</c:v>
                </c:pt>
                <c:pt idx="7">
                  <c:v>378</c:v>
                </c:pt>
                <c:pt idx="8">
                  <c:v>374</c:v>
                </c:pt>
                <c:pt idx="9">
                  <c:v>376</c:v>
                </c:pt>
                <c:pt idx="10">
                  <c:v>375</c:v>
                </c:pt>
                <c:pt idx="11">
                  <c:v>375</c:v>
                </c:pt>
                <c:pt idx="12">
                  <c:v>375</c:v>
                </c:pt>
                <c:pt idx="13">
                  <c:v>375</c:v>
                </c:pt>
                <c:pt idx="14">
                  <c:v>377</c:v>
                </c:pt>
                <c:pt idx="15">
                  <c:v>375</c:v>
                </c:pt>
                <c:pt idx="16">
                  <c:v>375</c:v>
                </c:pt>
                <c:pt idx="17">
                  <c:v>375</c:v>
                </c:pt>
                <c:pt idx="18">
                  <c:v>376</c:v>
                </c:pt>
                <c:pt idx="19">
                  <c:v>375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760896"/>
        <c:axId val="219774976"/>
      </c:scatterChart>
      <c:valAx>
        <c:axId val="219760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774976"/>
        <c:crosses val="autoZero"/>
        <c:crossBetween val="midCat"/>
      </c:valAx>
      <c:valAx>
        <c:axId val="219774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7608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Write Accesses vs. Cycle #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'applu~apsi'!$J$2:$J$21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'applu~apsi'!$K$2:$K$21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187</c:v>
                </c:pt>
                <c:pt idx="7">
                  <c:v>311</c:v>
                </c:pt>
                <c:pt idx="8">
                  <c:v>310</c:v>
                </c:pt>
                <c:pt idx="9">
                  <c:v>310</c:v>
                </c:pt>
                <c:pt idx="10">
                  <c:v>310</c:v>
                </c:pt>
                <c:pt idx="11">
                  <c:v>310</c:v>
                </c:pt>
                <c:pt idx="12">
                  <c:v>310</c:v>
                </c:pt>
                <c:pt idx="13">
                  <c:v>310</c:v>
                </c:pt>
                <c:pt idx="14">
                  <c:v>312</c:v>
                </c:pt>
                <c:pt idx="15">
                  <c:v>310</c:v>
                </c:pt>
                <c:pt idx="16">
                  <c:v>310</c:v>
                </c:pt>
                <c:pt idx="17">
                  <c:v>310</c:v>
                </c:pt>
                <c:pt idx="18">
                  <c:v>310</c:v>
                </c:pt>
                <c:pt idx="19">
                  <c:v>310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782528"/>
        <c:axId val="219944064"/>
      </c:scatterChart>
      <c:valAx>
        <c:axId val="21978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944064"/>
        <c:crosses val="autoZero"/>
        <c:crossBetween val="midCat"/>
      </c:valAx>
      <c:valAx>
        <c:axId val="219944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7825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'art_470~bwaves_06'!$E$2:$E$21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'art_470~bwaves_06'!$F$2:$F$21</c:f>
              <c:numCache>
                <c:formatCode>General</c:formatCode>
                <c:ptCount val="20"/>
                <c:pt idx="0">
                  <c:v>1246</c:v>
                </c:pt>
                <c:pt idx="1">
                  <c:v>1255</c:v>
                </c:pt>
                <c:pt idx="2">
                  <c:v>1246</c:v>
                </c:pt>
                <c:pt idx="3">
                  <c:v>1249</c:v>
                </c:pt>
                <c:pt idx="4">
                  <c:v>1250</c:v>
                </c:pt>
                <c:pt idx="5">
                  <c:v>1254</c:v>
                </c:pt>
                <c:pt idx="6">
                  <c:v>1254</c:v>
                </c:pt>
                <c:pt idx="7">
                  <c:v>1256</c:v>
                </c:pt>
                <c:pt idx="8">
                  <c:v>1251</c:v>
                </c:pt>
                <c:pt idx="9">
                  <c:v>1246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964160"/>
        <c:axId val="219965696"/>
      </c:scatterChart>
      <c:valAx>
        <c:axId val="219964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965696"/>
        <c:crosses val="autoZero"/>
        <c:crossBetween val="midCat"/>
      </c:valAx>
      <c:valAx>
        <c:axId val="219965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9641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Write Accesses vs. Cycle #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'art_470~bwaves_06'!$J$2:$J$21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'art_470~bwaves_06'!$K$2:$K$21</c:f>
              <c:numCache>
                <c:formatCode>General</c:formatCode>
                <c:ptCount val="20"/>
                <c:pt idx="0">
                  <c:v>542</c:v>
                </c:pt>
                <c:pt idx="1">
                  <c:v>546</c:v>
                </c:pt>
                <c:pt idx="2">
                  <c:v>539</c:v>
                </c:pt>
                <c:pt idx="3">
                  <c:v>537</c:v>
                </c:pt>
                <c:pt idx="4">
                  <c:v>545</c:v>
                </c:pt>
                <c:pt idx="5">
                  <c:v>542</c:v>
                </c:pt>
                <c:pt idx="6">
                  <c:v>541</c:v>
                </c:pt>
                <c:pt idx="7">
                  <c:v>544</c:v>
                </c:pt>
                <c:pt idx="8">
                  <c:v>543</c:v>
                </c:pt>
                <c:pt idx="9">
                  <c:v>539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989888"/>
        <c:axId val="219991424"/>
      </c:scatterChart>
      <c:valAx>
        <c:axId val="219989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991424"/>
        <c:crosses val="autoZero"/>
        <c:crossBetween val="midCat"/>
      </c:valAx>
      <c:valAx>
        <c:axId val="2199914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9898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'bzip2_source~cactusADM_06'!$E$2:$E$21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'bzip2_source~cactusADM_06'!$F$2:$F$21</c:f>
              <c:numCache>
                <c:formatCode>General</c:formatCode>
                <c:ptCount val="20"/>
                <c:pt idx="0">
                  <c:v>285</c:v>
                </c:pt>
                <c:pt idx="1">
                  <c:v>295</c:v>
                </c:pt>
                <c:pt idx="2">
                  <c:v>268</c:v>
                </c:pt>
                <c:pt idx="3">
                  <c:v>269</c:v>
                </c:pt>
                <c:pt idx="4">
                  <c:v>265</c:v>
                </c:pt>
                <c:pt idx="5">
                  <c:v>267</c:v>
                </c:pt>
                <c:pt idx="6">
                  <c:v>279</c:v>
                </c:pt>
                <c:pt idx="7">
                  <c:v>265</c:v>
                </c:pt>
                <c:pt idx="8">
                  <c:v>276</c:v>
                </c:pt>
                <c:pt idx="9">
                  <c:v>279</c:v>
                </c:pt>
                <c:pt idx="10">
                  <c:v>283</c:v>
                </c:pt>
                <c:pt idx="11">
                  <c:v>328</c:v>
                </c:pt>
                <c:pt idx="12">
                  <c:v>267</c:v>
                </c:pt>
                <c:pt idx="13">
                  <c:v>270</c:v>
                </c:pt>
                <c:pt idx="14">
                  <c:v>274</c:v>
                </c:pt>
                <c:pt idx="15">
                  <c:v>274</c:v>
                </c:pt>
                <c:pt idx="16">
                  <c:v>284</c:v>
                </c:pt>
                <c:pt idx="17">
                  <c:v>263</c:v>
                </c:pt>
                <c:pt idx="18">
                  <c:v>270</c:v>
                </c:pt>
                <c:pt idx="19">
                  <c:v>268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023808"/>
        <c:axId val="220029696"/>
      </c:scatterChart>
      <c:valAx>
        <c:axId val="220023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0029696"/>
        <c:crosses val="autoZero"/>
        <c:crossBetween val="midCat"/>
      </c:valAx>
      <c:valAx>
        <c:axId val="220029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00238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Write Accesses vs. Cycle #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'bzip2_source~cactusADM_06'!$J$2:$J$21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'bzip2_source~cactusADM_06'!$K$2:$K$21</c:f>
              <c:numCache>
                <c:formatCode>General</c:formatCode>
                <c:ptCount val="20"/>
                <c:pt idx="0">
                  <c:v>252</c:v>
                </c:pt>
                <c:pt idx="1">
                  <c:v>246</c:v>
                </c:pt>
                <c:pt idx="2">
                  <c:v>249</c:v>
                </c:pt>
                <c:pt idx="3">
                  <c:v>252</c:v>
                </c:pt>
                <c:pt idx="4">
                  <c:v>250</c:v>
                </c:pt>
                <c:pt idx="5">
                  <c:v>250</c:v>
                </c:pt>
                <c:pt idx="6">
                  <c:v>249</c:v>
                </c:pt>
                <c:pt idx="7">
                  <c:v>248</c:v>
                </c:pt>
                <c:pt idx="8">
                  <c:v>252</c:v>
                </c:pt>
                <c:pt idx="9">
                  <c:v>248</c:v>
                </c:pt>
                <c:pt idx="10">
                  <c:v>251</c:v>
                </c:pt>
                <c:pt idx="11">
                  <c:v>242</c:v>
                </c:pt>
                <c:pt idx="12">
                  <c:v>252</c:v>
                </c:pt>
                <c:pt idx="13">
                  <c:v>248</c:v>
                </c:pt>
                <c:pt idx="14">
                  <c:v>250</c:v>
                </c:pt>
                <c:pt idx="15">
                  <c:v>246</c:v>
                </c:pt>
                <c:pt idx="16">
                  <c:v>250</c:v>
                </c:pt>
                <c:pt idx="17">
                  <c:v>250</c:v>
                </c:pt>
                <c:pt idx="18">
                  <c:v>249</c:v>
                </c:pt>
                <c:pt idx="19">
                  <c:v>251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0045696"/>
        <c:axId val="220047232"/>
      </c:scatterChart>
      <c:valAx>
        <c:axId val="220045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0047232"/>
        <c:crosses val="autoZero"/>
        <c:crossBetween val="midCat"/>
      </c:valAx>
      <c:valAx>
        <c:axId val="220047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00456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161351706036746"/>
          <c:y val="0.19480351414406533"/>
          <c:w val="0.81298381452318458"/>
          <c:h val="0.68921660834062404"/>
        </c:manualLayout>
      </c:layout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apsi!$E$2:$E$21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apsi!$F$2:$F$21</c:f>
              <c:numCache>
                <c:formatCode>General</c:formatCode>
                <c:ptCount val="20"/>
                <c:pt idx="0">
                  <c:v>312</c:v>
                </c:pt>
                <c:pt idx="1">
                  <c:v>310</c:v>
                </c:pt>
                <c:pt idx="2">
                  <c:v>312</c:v>
                </c:pt>
                <c:pt idx="3">
                  <c:v>312</c:v>
                </c:pt>
                <c:pt idx="4">
                  <c:v>310</c:v>
                </c:pt>
                <c:pt idx="5">
                  <c:v>312</c:v>
                </c:pt>
                <c:pt idx="6">
                  <c:v>310</c:v>
                </c:pt>
                <c:pt idx="7">
                  <c:v>312</c:v>
                </c:pt>
                <c:pt idx="8">
                  <c:v>310</c:v>
                </c:pt>
                <c:pt idx="9">
                  <c:v>312</c:v>
                </c:pt>
                <c:pt idx="10">
                  <c:v>312</c:v>
                </c:pt>
                <c:pt idx="11">
                  <c:v>310</c:v>
                </c:pt>
                <c:pt idx="12">
                  <c:v>311</c:v>
                </c:pt>
                <c:pt idx="13">
                  <c:v>311</c:v>
                </c:pt>
                <c:pt idx="14">
                  <c:v>311</c:v>
                </c:pt>
                <c:pt idx="15">
                  <c:v>311</c:v>
                </c:pt>
                <c:pt idx="16">
                  <c:v>310</c:v>
                </c:pt>
                <c:pt idx="17">
                  <c:v>312</c:v>
                </c:pt>
                <c:pt idx="18">
                  <c:v>310</c:v>
                </c:pt>
                <c:pt idx="19">
                  <c:v>312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218304"/>
        <c:axId val="219219840"/>
      </c:scatterChart>
      <c:valAx>
        <c:axId val="219218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219840"/>
        <c:crosses val="autoZero"/>
        <c:crossBetween val="midCat"/>
      </c:valAx>
      <c:valAx>
        <c:axId val="21921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2183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Write Accesses vs. Cycle #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apsi!$J$2:$J$21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apsi!$K$2:$K$21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202</c:v>
                </c:pt>
                <c:pt idx="7">
                  <c:v>312</c:v>
                </c:pt>
                <c:pt idx="8">
                  <c:v>310</c:v>
                </c:pt>
                <c:pt idx="9">
                  <c:v>312</c:v>
                </c:pt>
                <c:pt idx="10">
                  <c:v>312</c:v>
                </c:pt>
                <c:pt idx="11">
                  <c:v>310</c:v>
                </c:pt>
                <c:pt idx="12">
                  <c:v>312</c:v>
                </c:pt>
                <c:pt idx="13">
                  <c:v>310</c:v>
                </c:pt>
                <c:pt idx="14">
                  <c:v>312</c:v>
                </c:pt>
                <c:pt idx="15">
                  <c:v>310</c:v>
                </c:pt>
                <c:pt idx="16">
                  <c:v>311</c:v>
                </c:pt>
                <c:pt idx="17">
                  <c:v>311</c:v>
                </c:pt>
                <c:pt idx="18">
                  <c:v>311</c:v>
                </c:pt>
                <c:pt idx="19">
                  <c:v>311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227648"/>
        <c:axId val="219229184"/>
      </c:scatterChart>
      <c:valAx>
        <c:axId val="219227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229184"/>
        <c:crosses val="autoZero"/>
        <c:crossBetween val="midCat"/>
      </c:valAx>
      <c:valAx>
        <c:axId val="219229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227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art_470!$E$2:$E$21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art_470!$F$2:$F$21</c:f>
              <c:numCache>
                <c:formatCode>General</c:formatCode>
                <c:ptCount val="20"/>
                <c:pt idx="0">
                  <c:v>182</c:v>
                </c:pt>
                <c:pt idx="1">
                  <c:v>167</c:v>
                </c:pt>
                <c:pt idx="2">
                  <c:v>168</c:v>
                </c:pt>
                <c:pt idx="3">
                  <c:v>170</c:v>
                </c:pt>
                <c:pt idx="4">
                  <c:v>169</c:v>
                </c:pt>
                <c:pt idx="5">
                  <c:v>172</c:v>
                </c:pt>
                <c:pt idx="6">
                  <c:v>170</c:v>
                </c:pt>
                <c:pt idx="7">
                  <c:v>170</c:v>
                </c:pt>
                <c:pt idx="8">
                  <c:v>170</c:v>
                </c:pt>
                <c:pt idx="9">
                  <c:v>168</c:v>
                </c:pt>
                <c:pt idx="10">
                  <c:v>172</c:v>
                </c:pt>
                <c:pt idx="11">
                  <c:v>170</c:v>
                </c:pt>
                <c:pt idx="12">
                  <c:v>170</c:v>
                </c:pt>
                <c:pt idx="13">
                  <c:v>169</c:v>
                </c:pt>
                <c:pt idx="14">
                  <c:v>169</c:v>
                </c:pt>
                <c:pt idx="15">
                  <c:v>168</c:v>
                </c:pt>
                <c:pt idx="16">
                  <c:v>167</c:v>
                </c:pt>
                <c:pt idx="17">
                  <c:v>169</c:v>
                </c:pt>
                <c:pt idx="18">
                  <c:v>170</c:v>
                </c:pt>
                <c:pt idx="19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277952"/>
        <c:axId val="219414912"/>
      </c:scatterChart>
      <c:valAx>
        <c:axId val="219277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414912"/>
        <c:crosses val="autoZero"/>
        <c:crossBetween val="midCat"/>
      </c:valAx>
      <c:valAx>
        <c:axId val="219414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2779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bwaves_06!$E$2:$E$21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bwaves_06!$F$2:$F$21</c:f>
              <c:numCache>
                <c:formatCode>General</c:formatCode>
                <c:ptCount val="20"/>
                <c:pt idx="0">
                  <c:v>543</c:v>
                </c:pt>
                <c:pt idx="1">
                  <c:v>547</c:v>
                </c:pt>
                <c:pt idx="2">
                  <c:v>543</c:v>
                </c:pt>
                <c:pt idx="3">
                  <c:v>544</c:v>
                </c:pt>
                <c:pt idx="4">
                  <c:v>541</c:v>
                </c:pt>
                <c:pt idx="5">
                  <c:v>550</c:v>
                </c:pt>
                <c:pt idx="6">
                  <c:v>538</c:v>
                </c:pt>
                <c:pt idx="7">
                  <c:v>547</c:v>
                </c:pt>
                <c:pt idx="8">
                  <c:v>543</c:v>
                </c:pt>
                <c:pt idx="9">
                  <c:v>546</c:v>
                </c:pt>
                <c:pt idx="10">
                  <c:v>544</c:v>
                </c:pt>
                <c:pt idx="11">
                  <c:v>546</c:v>
                </c:pt>
                <c:pt idx="12">
                  <c:v>544</c:v>
                </c:pt>
                <c:pt idx="13">
                  <c:v>541</c:v>
                </c:pt>
                <c:pt idx="14">
                  <c:v>542</c:v>
                </c:pt>
                <c:pt idx="15">
                  <c:v>546</c:v>
                </c:pt>
                <c:pt idx="16">
                  <c:v>544</c:v>
                </c:pt>
                <c:pt idx="17">
                  <c:v>546</c:v>
                </c:pt>
                <c:pt idx="18">
                  <c:v>540</c:v>
                </c:pt>
                <c:pt idx="19">
                  <c:v>545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447296"/>
        <c:axId val="219448832"/>
      </c:scatterChart>
      <c:valAx>
        <c:axId val="219447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448832"/>
        <c:crosses val="autoZero"/>
        <c:crossBetween val="midCat"/>
      </c:valAx>
      <c:valAx>
        <c:axId val="219448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447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Write Accesses vs. Cycle #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bwaves_06!$J$2:$J$21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bwaves_06!$K$2:$K$21</c:f>
              <c:numCache>
                <c:formatCode>General</c:formatCode>
                <c:ptCount val="20"/>
                <c:pt idx="0">
                  <c:v>545</c:v>
                </c:pt>
                <c:pt idx="1">
                  <c:v>545</c:v>
                </c:pt>
                <c:pt idx="2">
                  <c:v>545</c:v>
                </c:pt>
                <c:pt idx="3">
                  <c:v>545</c:v>
                </c:pt>
                <c:pt idx="4">
                  <c:v>541</c:v>
                </c:pt>
                <c:pt idx="5">
                  <c:v>545</c:v>
                </c:pt>
                <c:pt idx="6">
                  <c:v>542</c:v>
                </c:pt>
                <c:pt idx="7">
                  <c:v>545</c:v>
                </c:pt>
                <c:pt idx="8">
                  <c:v>541</c:v>
                </c:pt>
                <c:pt idx="9">
                  <c:v>545</c:v>
                </c:pt>
                <c:pt idx="10">
                  <c:v>545</c:v>
                </c:pt>
                <c:pt idx="11">
                  <c:v>545</c:v>
                </c:pt>
                <c:pt idx="12">
                  <c:v>545</c:v>
                </c:pt>
                <c:pt idx="13">
                  <c:v>546</c:v>
                </c:pt>
                <c:pt idx="14">
                  <c:v>542</c:v>
                </c:pt>
                <c:pt idx="15">
                  <c:v>546</c:v>
                </c:pt>
                <c:pt idx="16">
                  <c:v>539</c:v>
                </c:pt>
                <c:pt idx="17">
                  <c:v>546</c:v>
                </c:pt>
                <c:pt idx="18">
                  <c:v>542</c:v>
                </c:pt>
                <c:pt idx="19">
                  <c:v>548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464832"/>
        <c:axId val="219466368"/>
      </c:scatterChart>
      <c:valAx>
        <c:axId val="219464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466368"/>
        <c:crosses val="autoZero"/>
        <c:crossBetween val="midCat"/>
      </c:valAx>
      <c:valAx>
        <c:axId val="219466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4648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u="none" strike="noStrike" baseline="0">
                <a:effectLst/>
              </a:rPr>
              <a:t>ReadExcl 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bzip2_source!$E$2:$E$21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bzip2_source!$F$2:$F$21</c:f>
              <c:numCache>
                <c:formatCode>General</c:formatCode>
                <c:ptCount val="20"/>
                <c:pt idx="0">
                  <c:v>249</c:v>
                </c:pt>
                <c:pt idx="1">
                  <c:v>251</c:v>
                </c:pt>
                <c:pt idx="2">
                  <c:v>250</c:v>
                </c:pt>
                <c:pt idx="3">
                  <c:v>250</c:v>
                </c:pt>
                <c:pt idx="4">
                  <c:v>249</c:v>
                </c:pt>
                <c:pt idx="5">
                  <c:v>251</c:v>
                </c:pt>
                <c:pt idx="6">
                  <c:v>250</c:v>
                </c:pt>
                <c:pt idx="7">
                  <c:v>250</c:v>
                </c:pt>
                <c:pt idx="8">
                  <c:v>249</c:v>
                </c:pt>
                <c:pt idx="9">
                  <c:v>251</c:v>
                </c:pt>
                <c:pt idx="10">
                  <c:v>250</c:v>
                </c:pt>
                <c:pt idx="11">
                  <c:v>250</c:v>
                </c:pt>
                <c:pt idx="12">
                  <c:v>249</c:v>
                </c:pt>
                <c:pt idx="13">
                  <c:v>251</c:v>
                </c:pt>
                <c:pt idx="14">
                  <c:v>250</c:v>
                </c:pt>
                <c:pt idx="15">
                  <c:v>250</c:v>
                </c:pt>
                <c:pt idx="16">
                  <c:v>249</c:v>
                </c:pt>
                <c:pt idx="17">
                  <c:v>251</c:v>
                </c:pt>
                <c:pt idx="18">
                  <c:v>250</c:v>
                </c:pt>
                <c:pt idx="19">
                  <c:v>250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883776"/>
        <c:axId val="219885568"/>
      </c:scatterChart>
      <c:valAx>
        <c:axId val="21988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885568"/>
        <c:crosses val="autoZero"/>
        <c:crossBetween val="midCat"/>
      </c:valAx>
      <c:valAx>
        <c:axId val="21988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8837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effectLst/>
              </a:rPr>
              <a:t>Write Accesses vs. Cycle #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bzip2_source!$J$2:$J$21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bzip2_source!$K$2:$K$21</c:f>
              <c:numCache>
                <c:formatCode>General</c:formatCode>
                <c:ptCount val="20"/>
                <c:pt idx="0">
                  <c:v>250</c:v>
                </c:pt>
                <c:pt idx="1">
                  <c:v>250</c:v>
                </c:pt>
                <c:pt idx="2">
                  <c:v>250</c:v>
                </c:pt>
                <c:pt idx="3">
                  <c:v>250</c:v>
                </c:pt>
                <c:pt idx="4">
                  <c:v>250</c:v>
                </c:pt>
                <c:pt idx="5">
                  <c:v>250</c:v>
                </c:pt>
                <c:pt idx="6">
                  <c:v>250</c:v>
                </c:pt>
                <c:pt idx="7">
                  <c:v>250</c:v>
                </c:pt>
                <c:pt idx="8">
                  <c:v>250</c:v>
                </c:pt>
                <c:pt idx="9">
                  <c:v>250</c:v>
                </c:pt>
                <c:pt idx="10">
                  <c:v>250</c:v>
                </c:pt>
                <c:pt idx="11">
                  <c:v>250</c:v>
                </c:pt>
                <c:pt idx="12">
                  <c:v>250</c:v>
                </c:pt>
                <c:pt idx="13">
                  <c:v>250</c:v>
                </c:pt>
                <c:pt idx="14">
                  <c:v>250</c:v>
                </c:pt>
                <c:pt idx="15">
                  <c:v>250</c:v>
                </c:pt>
                <c:pt idx="16">
                  <c:v>250</c:v>
                </c:pt>
                <c:pt idx="17">
                  <c:v>250</c:v>
                </c:pt>
                <c:pt idx="18">
                  <c:v>250</c:v>
                </c:pt>
                <c:pt idx="19">
                  <c:v>250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897216"/>
        <c:axId val="219911296"/>
      </c:scatterChart>
      <c:valAx>
        <c:axId val="219897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911296"/>
        <c:crosses val="autoZero"/>
        <c:crossBetween val="midCat"/>
      </c:valAx>
      <c:valAx>
        <c:axId val="219911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8972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ReadExcl</a:t>
            </a:r>
            <a:r>
              <a:rPr lang="en-US" baseline="0"/>
              <a:t> </a:t>
            </a:r>
            <a:r>
              <a:rPr lang="en-US" sz="1800" b="1" i="0" u="none" strike="noStrike" baseline="0">
                <a:effectLst/>
              </a:rPr>
              <a:t>Accesses vs. Cycle #</a:t>
            </a:r>
            <a:endParaRPr 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ReadExcl</c:v>
          </c:tx>
          <c:spPr>
            <a:ln w="28575">
              <a:noFill/>
            </a:ln>
          </c:spPr>
          <c:xVal>
            <c:numRef>
              <c:f>cactusADM_06!$E$2:$E$21</c:f>
              <c:numCache>
                <c:formatCode>General</c:formatCode>
                <c:ptCount val="2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</c:numCache>
            </c:numRef>
          </c:xVal>
          <c:yVal>
            <c:numRef>
              <c:f>cactusADM_06!$F$2:$F$21</c:f>
              <c:numCache>
                <c:formatCode>General</c:formatCode>
                <c:ptCount val="20"/>
                <c:pt idx="0">
                  <c:v>234</c:v>
                </c:pt>
                <c:pt idx="1">
                  <c:v>186</c:v>
                </c:pt>
                <c:pt idx="2">
                  <c:v>163</c:v>
                </c:pt>
                <c:pt idx="3">
                  <c:v>109</c:v>
                </c:pt>
                <c:pt idx="4">
                  <c:v>98</c:v>
                </c:pt>
                <c:pt idx="5">
                  <c:v>34</c:v>
                </c:pt>
                <c:pt idx="6">
                  <c:v>123</c:v>
                </c:pt>
                <c:pt idx="7">
                  <c:v>103</c:v>
                </c:pt>
                <c:pt idx="8">
                  <c:v>58</c:v>
                </c:pt>
                <c:pt idx="9">
                  <c:v>36</c:v>
                </c:pt>
                <c:pt idx="10">
                  <c:v>64</c:v>
                </c:pt>
                <c:pt idx="11">
                  <c:v>65</c:v>
                </c:pt>
                <c:pt idx="12">
                  <c:v>39</c:v>
                </c:pt>
                <c:pt idx="13">
                  <c:v>30</c:v>
                </c:pt>
                <c:pt idx="14">
                  <c:v>28</c:v>
                </c:pt>
                <c:pt idx="15">
                  <c:v>18</c:v>
                </c:pt>
                <c:pt idx="16">
                  <c:v>11</c:v>
                </c:pt>
                <c:pt idx="17">
                  <c:v>27</c:v>
                </c:pt>
                <c:pt idx="18">
                  <c:v>20</c:v>
                </c:pt>
                <c:pt idx="19">
                  <c:v>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927680"/>
        <c:axId val="219929216"/>
      </c:scatterChart>
      <c:valAx>
        <c:axId val="219927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9929216"/>
        <c:crosses val="autoZero"/>
        <c:crossBetween val="midCat"/>
      </c:valAx>
      <c:valAx>
        <c:axId val="219929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99276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16</cp:revision>
  <dcterms:created xsi:type="dcterms:W3CDTF">2013-04-04T22:58:00Z</dcterms:created>
  <dcterms:modified xsi:type="dcterms:W3CDTF">2014-01-09T03:42:00Z</dcterms:modified>
</cp:coreProperties>
</file>