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A60" w:rsidRPr="0075269E" w:rsidRDefault="00581A60" w:rsidP="00581A60">
      <w:pPr>
        <w:spacing w:line="276" w:lineRule="auto"/>
        <w:ind w:left="720" w:right="720"/>
        <w:rPr>
          <w:rFonts w:ascii="Times New Roman" w:hAnsi="Times New Roman" w:cs="Times New Roman"/>
          <w:sz w:val="34"/>
          <w:szCs w:val="34"/>
        </w:rPr>
      </w:pPr>
      <w:r w:rsidRPr="0075269E">
        <w:rPr>
          <w:rFonts w:ascii="Times New Roman" w:hAnsi="Times New Roman" w:cs="Times New Roman"/>
          <w:sz w:val="34"/>
          <w:szCs w:val="34"/>
        </w:rPr>
        <w:t>Peer Feedback</w:t>
      </w:r>
    </w:p>
    <w:p w:rsidR="00581A60" w:rsidRPr="0075269E" w:rsidRDefault="00581A60" w:rsidP="00581A60">
      <w:pPr>
        <w:spacing w:before="170" w:line="276" w:lineRule="auto"/>
        <w:ind w:left="720" w:right="720"/>
        <w:rPr>
          <w:rFonts w:ascii="Times New Roman" w:hAnsi="Times New Roman" w:cs="Times New Roman"/>
          <w:sz w:val="22"/>
          <w:szCs w:val="22"/>
        </w:rPr>
      </w:pPr>
      <w:r w:rsidRPr="0075269E">
        <w:rPr>
          <w:rFonts w:ascii="Times New Roman" w:hAnsi="Times New Roman" w:cs="Times New Roman"/>
          <w:sz w:val="22"/>
          <w:szCs w:val="22"/>
        </w:rPr>
        <w:t>Royce Sadler identifies three prerequisites for students to benefit from peer feedback in academic tasks. A student must know</w:t>
      </w:r>
    </w:p>
    <w:p w:rsidR="00581A60" w:rsidRPr="0075269E" w:rsidRDefault="00581A60" w:rsidP="00581A60">
      <w:pPr>
        <w:pStyle w:val="ListParagraph"/>
        <w:numPr>
          <w:ilvl w:val="0"/>
          <w:numId w:val="3"/>
        </w:numPr>
        <w:spacing w:line="276" w:lineRule="auto"/>
        <w:ind w:right="720"/>
        <w:rPr>
          <w:rFonts w:ascii="Times New Roman" w:hAnsi="Times New Roman" w:cs="Times New Roman"/>
        </w:rPr>
      </w:pPr>
      <w:r w:rsidRPr="0075269E">
        <w:rPr>
          <w:rFonts w:ascii="Times New Roman" w:hAnsi="Times New Roman" w:cs="Times New Roman"/>
        </w:rPr>
        <w:t>What a good performance is</w:t>
      </w:r>
      <w:r w:rsidRPr="0075269E">
        <w:rPr>
          <w:rFonts w:ascii="Times New Roman" w:hAnsi="Times New Roman" w:cs="Times New Roman"/>
        </w:rPr>
        <w:t xml:space="preserve"> (i.e. must possess a concept of the goal or standard being</w:t>
      </w:r>
      <w:r w:rsidRPr="0075269E">
        <w:rPr>
          <w:rFonts w:ascii="Times New Roman" w:hAnsi="Times New Roman" w:cs="Times New Roman"/>
        </w:rPr>
        <w:t xml:space="preserve"> </w:t>
      </w:r>
      <w:r w:rsidRPr="0075269E">
        <w:rPr>
          <w:rFonts w:ascii="Times New Roman" w:hAnsi="Times New Roman" w:cs="Times New Roman"/>
        </w:rPr>
        <w:t>aimed for);</w:t>
      </w:r>
    </w:p>
    <w:p w:rsidR="00581A60" w:rsidRPr="00581A60" w:rsidRDefault="00581A60" w:rsidP="00581A60">
      <w:pPr>
        <w:pStyle w:val="ListParagraph"/>
        <w:numPr>
          <w:ilvl w:val="0"/>
          <w:numId w:val="3"/>
        </w:numPr>
        <w:spacing w:before="170" w:line="276" w:lineRule="auto"/>
        <w:ind w:right="720"/>
        <w:rPr>
          <w:rFonts w:ascii="Times New Roman" w:hAnsi="Times New Roman" w:cs="Times New Roman"/>
        </w:rPr>
      </w:pPr>
      <w:r w:rsidRPr="00581A60">
        <w:rPr>
          <w:rFonts w:ascii="Times New Roman" w:hAnsi="Times New Roman" w:cs="Times New Roman"/>
        </w:rPr>
        <w:t>how current performance relates to good performance (for this, students must be able to compare current and good performance);</w:t>
      </w:r>
    </w:p>
    <w:p w:rsidR="00581A60" w:rsidRPr="0075269E" w:rsidRDefault="00581A60" w:rsidP="00581A60">
      <w:pPr>
        <w:pStyle w:val="ListParagraph"/>
        <w:numPr>
          <w:ilvl w:val="0"/>
          <w:numId w:val="3"/>
        </w:numPr>
        <w:spacing w:before="170" w:line="276" w:lineRule="auto"/>
        <w:ind w:right="720"/>
        <w:rPr>
          <w:rFonts w:ascii="Times New Roman" w:hAnsi="Times New Roman" w:cs="Times New Roman"/>
        </w:rPr>
      </w:pPr>
      <w:r w:rsidRPr="00581A60">
        <w:rPr>
          <w:rFonts w:ascii="Times New Roman" w:hAnsi="Times New Roman" w:cs="Times New Roman"/>
        </w:rPr>
        <w:t>how to act to close the gap between current and good performance.</w:t>
      </w:r>
    </w:p>
    <w:p w:rsidR="00581A60" w:rsidRPr="0075269E" w:rsidRDefault="00581A60" w:rsidP="00581A60">
      <w:pPr>
        <w:spacing w:before="170" w:line="276" w:lineRule="auto"/>
        <w:ind w:left="720" w:right="720"/>
        <w:rPr>
          <w:rFonts w:ascii="Times New Roman" w:hAnsi="Times New Roman" w:cs="Times New Roman"/>
        </w:rPr>
      </w:pPr>
      <w:r w:rsidRPr="0075269E">
        <w:rPr>
          <w:rFonts w:ascii="Times New Roman" w:hAnsi="Times New Roman" w:cs="Times New Roman"/>
        </w:rPr>
        <w:t>From this, Sadler points out that for students to be able to gauge current performance against good performance (ii), and act on that knowledge to close the gap (iii), students must “</w:t>
      </w:r>
      <w:r w:rsidRPr="0075269E">
        <w:rPr>
          <w:rFonts w:ascii="Times New Roman" w:hAnsi="Times New Roman" w:cs="Times New Roman"/>
        </w:rPr>
        <w:t>already possess some of the same evaluative skills as their teacher</w:t>
      </w:r>
      <w:r w:rsidRPr="0075269E">
        <w:rPr>
          <w:rFonts w:ascii="Times New Roman" w:hAnsi="Times New Roman" w:cs="Times New Roman"/>
        </w:rPr>
        <w:t>” (Sadler, 1989).</w:t>
      </w:r>
    </w:p>
    <w:p w:rsidR="00276236" w:rsidRPr="0075269E" w:rsidRDefault="00276236" w:rsidP="00581A60">
      <w:pPr>
        <w:spacing w:before="170" w:line="276" w:lineRule="auto"/>
        <w:ind w:left="720" w:right="720"/>
        <w:rPr>
          <w:rFonts w:ascii="Times New Roman" w:hAnsi="Times New Roman" w:cs="Times New Roman"/>
        </w:rPr>
      </w:pPr>
      <w:r w:rsidRPr="0075269E">
        <w:rPr>
          <w:rFonts w:ascii="Times New Roman" w:hAnsi="Times New Roman" w:cs="Times New Roman"/>
        </w:rPr>
        <w:t>In this course, we want to opt for full transparency so that a student can understand exactly what is required for each assignment, what key performance indicators (KPI) of learning looks like, how the assignment will be graded, what a good submission looks like, and what poor submissions look like.</w:t>
      </w:r>
    </w:p>
    <w:p w:rsidR="00704FEC" w:rsidRPr="0075269E" w:rsidRDefault="00704FEC" w:rsidP="00581A60">
      <w:pPr>
        <w:spacing w:before="170" w:line="276" w:lineRule="auto"/>
        <w:ind w:left="720" w:right="720"/>
        <w:rPr>
          <w:rFonts w:ascii="Times New Roman" w:hAnsi="Times New Roman" w:cs="Times New Roman"/>
          <w:b/>
          <w:bCs/>
        </w:rPr>
      </w:pPr>
      <w:r w:rsidRPr="0075269E">
        <w:rPr>
          <w:rFonts w:ascii="Times New Roman" w:hAnsi="Times New Roman" w:cs="Times New Roman"/>
          <w:b/>
          <w:bCs/>
        </w:rPr>
        <w:t>Understanding the assignment</w:t>
      </w:r>
    </w:p>
    <w:p w:rsidR="00704FEC" w:rsidRPr="0075269E" w:rsidRDefault="00704FEC" w:rsidP="00581A60">
      <w:pPr>
        <w:spacing w:before="170" w:line="276" w:lineRule="auto"/>
        <w:ind w:left="720" w:right="720"/>
        <w:rPr>
          <w:rFonts w:ascii="Times New Roman" w:hAnsi="Times New Roman" w:cs="Times New Roman"/>
        </w:rPr>
      </w:pPr>
      <w:r w:rsidRPr="0075269E">
        <w:rPr>
          <w:rFonts w:ascii="Times New Roman" w:hAnsi="Times New Roman" w:cs="Times New Roman"/>
        </w:rPr>
        <w:t xml:space="preserve">This will require a detailed description of each assignment. There will be a discussion/QA portion of the site (consistent with most MOOC’s) </w:t>
      </w:r>
      <w:r w:rsidRPr="0075269E">
        <w:rPr>
          <w:rFonts w:ascii="Times New Roman" w:hAnsi="Times New Roman" w:cs="Times New Roman"/>
        </w:rPr>
        <w:t>(or space on Slack)</w:t>
      </w:r>
      <w:r w:rsidRPr="0075269E">
        <w:rPr>
          <w:rFonts w:ascii="Times New Roman" w:hAnsi="Times New Roman" w:cs="Times New Roman"/>
        </w:rPr>
        <w:t>. Here, students can ask for clarification on the assignment description. This open forum will help point out ambiguity in the assignment description and will allow the course designer to improve the assignment descriptions.</w:t>
      </w:r>
    </w:p>
    <w:p w:rsidR="00704FEC" w:rsidRPr="0075269E" w:rsidRDefault="00704FEC" w:rsidP="00581A60">
      <w:pPr>
        <w:spacing w:before="170" w:line="276" w:lineRule="auto"/>
        <w:ind w:left="720" w:right="720"/>
        <w:rPr>
          <w:rFonts w:ascii="Times New Roman" w:hAnsi="Times New Roman" w:cs="Times New Roman"/>
          <w:b/>
          <w:bCs/>
        </w:rPr>
      </w:pPr>
      <w:r w:rsidRPr="0075269E">
        <w:rPr>
          <w:rFonts w:ascii="Times New Roman" w:hAnsi="Times New Roman" w:cs="Times New Roman"/>
          <w:b/>
          <w:bCs/>
        </w:rPr>
        <w:t>Key performance indicators of learning</w:t>
      </w:r>
    </w:p>
    <w:p w:rsidR="00704FEC" w:rsidRPr="0075269E" w:rsidRDefault="00704FEC" w:rsidP="00581A60">
      <w:pPr>
        <w:spacing w:before="170" w:line="276" w:lineRule="auto"/>
        <w:ind w:left="720" w:right="720"/>
        <w:rPr>
          <w:rFonts w:ascii="Times New Roman" w:hAnsi="Times New Roman" w:cs="Times New Roman"/>
        </w:rPr>
      </w:pPr>
      <w:r w:rsidRPr="0075269E">
        <w:rPr>
          <w:rFonts w:ascii="Times New Roman" w:hAnsi="Times New Roman" w:cs="Times New Roman"/>
        </w:rPr>
        <w:t xml:space="preserve">KPI’s of learning are not always clear. When a student does not recognize what they should be gaining from an assignment, the assignment can feel arbitrary or like busy work. The student doesn’t feel that there is any tangible skill to be gained from their work and can start to lose interest quickly. For this reason, we will explicitly say in the assignment description how they will “come up” from this assignment. </w:t>
      </w:r>
    </w:p>
    <w:p w:rsidR="00704FEC" w:rsidRDefault="00704FEC" w:rsidP="00581A60">
      <w:pPr>
        <w:spacing w:before="170" w:line="276" w:lineRule="auto"/>
        <w:ind w:left="720" w:right="720"/>
        <w:rPr>
          <w:rFonts w:ascii="Times New Roman" w:hAnsi="Times New Roman" w:cs="Times New Roman"/>
        </w:rPr>
      </w:pPr>
      <w:r w:rsidRPr="0075269E">
        <w:rPr>
          <w:rFonts w:ascii="Times New Roman" w:hAnsi="Times New Roman" w:cs="Times New Roman"/>
        </w:rPr>
        <w:t xml:space="preserve">This tugs at the strings of intrinsic motivation. A letter grade is clearly extrinsic motivation, which </w:t>
      </w:r>
      <w:r w:rsidR="0075269E" w:rsidRPr="0075269E">
        <w:rPr>
          <w:rFonts w:ascii="Times New Roman" w:hAnsi="Times New Roman" w:cs="Times New Roman"/>
        </w:rPr>
        <w:t>research has proven is less effective than intrinsic motivation. “</w:t>
      </w:r>
      <w:r w:rsidR="0075269E">
        <w:rPr>
          <w:rFonts w:ascii="Times New Roman" w:hAnsi="Times New Roman" w:cs="Times New Roman"/>
        </w:rPr>
        <w:t>S</w:t>
      </w:r>
      <w:r w:rsidR="0075269E" w:rsidRPr="0075269E">
        <w:rPr>
          <w:rFonts w:ascii="Times New Roman" w:hAnsi="Times New Roman" w:cs="Times New Roman"/>
        </w:rPr>
        <w:t>tudents must see some relevance of the potential learning opportunity to their personal goals</w:t>
      </w:r>
      <w:r w:rsidR="0075269E" w:rsidRPr="0075269E">
        <w:rPr>
          <w:rFonts w:ascii="Times New Roman" w:hAnsi="Times New Roman" w:cs="Times New Roman"/>
        </w:rPr>
        <w:t>” (</w:t>
      </w:r>
      <w:r w:rsidR="0075269E">
        <w:rPr>
          <w:rFonts w:ascii="Times New Roman" w:hAnsi="Times New Roman" w:cs="Times New Roman"/>
        </w:rPr>
        <w:t xml:space="preserve">Johnson, 1999). By explicitly listing skills a student will walk away with after completing an assignment, it gives them something tangible to measure their own skillset with. </w:t>
      </w:r>
    </w:p>
    <w:p w:rsidR="0075269E" w:rsidRPr="0075269E" w:rsidRDefault="0075269E" w:rsidP="00581A60">
      <w:pPr>
        <w:spacing w:before="170" w:line="276" w:lineRule="auto"/>
        <w:ind w:left="720" w:right="720"/>
        <w:rPr>
          <w:rFonts w:ascii="Times New Roman" w:hAnsi="Times New Roman" w:cs="Times New Roman"/>
          <w:b/>
          <w:bCs/>
        </w:rPr>
      </w:pPr>
      <w:r w:rsidRPr="0075269E">
        <w:rPr>
          <w:rFonts w:ascii="Times New Roman" w:hAnsi="Times New Roman" w:cs="Times New Roman"/>
          <w:b/>
          <w:bCs/>
        </w:rPr>
        <w:lastRenderedPageBreak/>
        <w:t>Evaluating submissions</w:t>
      </w:r>
    </w:p>
    <w:p w:rsidR="0075269E" w:rsidRDefault="0075269E" w:rsidP="00581A60">
      <w:pPr>
        <w:spacing w:before="170" w:line="276" w:lineRule="auto"/>
        <w:ind w:left="720" w:right="720"/>
        <w:rPr>
          <w:rFonts w:ascii="Times New Roman" w:hAnsi="Times New Roman" w:cs="Times New Roman"/>
        </w:rPr>
      </w:pPr>
      <w:r>
        <w:rPr>
          <w:rFonts w:ascii="Times New Roman" w:hAnsi="Times New Roman" w:cs="Times New Roman"/>
        </w:rPr>
        <w:t>A student must know how an assignment will be graded, and this must be consistent with the KPI’s. A student must simply submit work that reflects they walked away with completing the KPI’s of learning. The assignment description can convey this by listing out what aspects of the assignment will be scrutinized. Homework evaluations will help refine these moving forward (similar to how the forums will refine assignment descriptions).</w:t>
      </w:r>
    </w:p>
    <w:p w:rsidR="0075269E" w:rsidRDefault="0075269E" w:rsidP="00581A60">
      <w:pPr>
        <w:spacing w:before="170" w:line="276" w:lineRule="auto"/>
        <w:ind w:left="720" w:right="720"/>
        <w:rPr>
          <w:rFonts w:ascii="Times New Roman" w:hAnsi="Times New Roman" w:cs="Times New Roman"/>
        </w:rPr>
      </w:pPr>
      <w:r>
        <w:rPr>
          <w:rFonts w:ascii="Times New Roman" w:hAnsi="Times New Roman" w:cs="Times New Roman"/>
        </w:rPr>
        <w:t xml:space="preserve">Even with a detailed assignment description/grading rubric, students still may feel some ambiguity. If a student is unclear on what the deliverable should be, or how it should be implemented, it can make it difficult to get started. Institutions nowadays spend effort on preventing students from copying code of other developers. However, with </w:t>
      </w:r>
      <w:proofErr w:type="spellStart"/>
      <w:r>
        <w:rPr>
          <w:rFonts w:ascii="Times New Roman" w:hAnsi="Times New Roman" w:cs="Times New Roman"/>
        </w:rPr>
        <w:t>Github</w:t>
      </w:r>
      <w:proofErr w:type="spellEnd"/>
      <w:r>
        <w:rPr>
          <w:rFonts w:ascii="Times New Roman" w:hAnsi="Times New Roman" w:cs="Times New Roman"/>
        </w:rPr>
        <w:t xml:space="preserve">, past work is very accessible, and most students/developers wouldn’t be worth hiring if they couldn’t find a way to obtain some past version of an assignment. It is ignorant for a professor to assume their students aren’t using something as a basis of comparison. Why not address this directly and give the student an </w:t>
      </w:r>
      <w:r w:rsidR="00847EE4">
        <w:rPr>
          <w:rFonts w:ascii="Times New Roman" w:hAnsi="Times New Roman" w:cs="Times New Roman"/>
        </w:rPr>
        <w:t>example of a completed assignment, both good and bad. State exactly why one submission received a good grade/poor grade. This will give them context and explicitly lay out for them what their submission should include (as a minimum).</w:t>
      </w:r>
    </w:p>
    <w:p w:rsidR="00847EE4" w:rsidRPr="00847EE4" w:rsidRDefault="00847EE4" w:rsidP="00581A60">
      <w:pPr>
        <w:spacing w:before="170" w:line="276" w:lineRule="auto"/>
        <w:ind w:left="720" w:right="720"/>
        <w:rPr>
          <w:rFonts w:ascii="Times New Roman" w:hAnsi="Times New Roman" w:cs="Times New Roman"/>
          <w:b/>
          <w:bCs/>
        </w:rPr>
      </w:pPr>
      <w:r w:rsidRPr="00847EE4">
        <w:rPr>
          <w:rFonts w:ascii="Times New Roman" w:hAnsi="Times New Roman" w:cs="Times New Roman"/>
          <w:b/>
          <w:bCs/>
        </w:rPr>
        <w:t>Peer feedback</w:t>
      </w:r>
    </w:p>
    <w:p w:rsidR="00847EE4" w:rsidRDefault="00847EE4" w:rsidP="00581A60">
      <w:pPr>
        <w:spacing w:before="170" w:line="276" w:lineRule="auto"/>
        <w:ind w:left="720" w:right="720"/>
        <w:rPr>
          <w:rFonts w:ascii="Times New Roman" w:hAnsi="Times New Roman" w:cs="Times New Roman"/>
        </w:rPr>
      </w:pPr>
      <w:r>
        <w:rPr>
          <w:rFonts w:ascii="Times New Roman" w:hAnsi="Times New Roman" w:cs="Times New Roman"/>
        </w:rPr>
        <w:t>At this point, the student knows exactly what is expected of them and possess “</w:t>
      </w:r>
      <w:r w:rsidRPr="0075269E">
        <w:rPr>
          <w:rFonts w:ascii="Times New Roman" w:hAnsi="Times New Roman" w:cs="Times New Roman"/>
        </w:rPr>
        <w:t>the same evaluative skills as their teacher</w:t>
      </w:r>
      <w:r>
        <w:rPr>
          <w:rFonts w:ascii="Times New Roman" w:hAnsi="Times New Roman" w:cs="Times New Roman"/>
        </w:rPr>
        <w:t>.</w:t>
      </w:r>
      <w:r w:rsidRPr="0075269E">
        <w:rPr>
          <w:rFonts w:ascii="Times New Roman" w:hAnsi="Times New Roman" w:cs="Times New Roman"/>
        </w:rPr>
        <w:t>”</w:t>
      </w:r>
      <w:r>
        <w:rPr>
          <w:rFonts w:ascii="Times New Roman" w:hAnsi="Times New Roman" w:cs="Times New Roman"/>
        </w:rPr>
        <w:t xml:space="preserve"> We can now have students review their peers’ submissions. When reviewing their peers work, they will follow </w:t>
      </w:r>
      <w:r w:rsidRPr="00847EE4">
        <w:rPr>
          <w:rFonts w:ascii="Times New Roman" w:hAnsi="Times New Roman" w:cs="Times New Roman"/>
        </w:rPr>
        <w:t>David Nicol and Debra Macfarlane-dick</w:t>
      </w:r>
      <w:r w:rsidRPr="00847EE4">
        <w:rPr>
          <w:rFonts w:ascii="Times New Roman" w:hAnsi="Times New Roman" w:cs="Times New Roman"/>
        </w:rPr>
        <w:t xml:space="preserve"> </w:t>
      </w:r>
      <w:r>
        <w:rPr>
          <w:rFonts w:ascii="Times New Roman" w:hAnsi="Times New Roman" w:cs="Times New Roman"/>
        </w:rPr>
        <w:t>guide to seven good peer review practices, which:</w:t>
      </w:r>
    </w:p>
    <w:p w:rsidR="00847EE4" w:rsidRDefault="00847EE4" w:rsidP="00847EE4">
      <w:pPr>
        <w:pStyle w:val="ListParagraph"/>
        <w:numPr>
          <w:ilvl w:val="0"/>
          <w:numId w:val="4"/>
        </w:numPr>
        <w:spacing w:before="170" w:line="276" w:lineRule="auto"/>
        <w:ind w:right="720"/>
        <w:jc w:val="both"/>
        <w:rPr>
          <w:sz w:val="22"/>
          <w:szCs w:val="22"/>
        </w:rPr>
      </w:pPr>
      <w:r>
        <w:rPr>
          <w:sz w:val="22"/>
          <w:szCs w:val="22"/>
        </w:rPr>
        <w:t>helps clarify what good performance is (goals, criteria, expected standards);</w:t>
      </w:r>
    </w:p>
    <w:p w:rsidR="00847EE4" w:rsidRPr="007C4120" w:rsidRDefault="00847EE4" w:rsidP="00847EE4">
      <w:pPr>
        <w:pStyle w:val="ListParagraph"/>
        <w:numPr>
          <w:ilvl w:val="0"/>
          <w:numId w:val="4"/>
        </w:numPr>
        <w:spacing w:before="170" w:line="276" w:lineRule="auto"/>
        <w:ind w:right="720"/>
        <w:jc w:val="both"/>
        <w:rPr>
          <w:sz w:val="22"/>
          <w:szCs w:val="22"/>
        </w:rPr>
      </w:pPr>
      <w:r w:rsidRPr="007C4120">
        <w:rPr>
          <w:sz w:val="22"/>
          <w:szCs w:val="22"/>
        </w:rPr>
        <w:t>facilitates the development of self-assessment (reflection) in learning;</w:t>
      </w:r>
    </w:p>
    <w:p w:rsidR="00847EE4" w:rsidRPr="007C4120" w:rsidRDefault="00847EE4" w:rsidP="00847EE4">
      <w:pPr>
        <w:pStyle w:val="ListParagraph"/>
        <w:numPr>
          <w:ilvl w:val="0"/>
          <w:numId w:val="4"/>
        </w:numPr>
        <w:spacing w:before="170" w:line="276" w:lineRule="auto"/>
        <w:ind w:right="720"/>
        <w:jc w:val="both"/>
        <w:rPr>
          <w:sz w:val="22"/>
          <w:szCs w:val="22"/>
        </w:rPr>
      </w:pPr>
      <w:r w:rsidRPr="007C4120">
        <w:rPr>
          <w:sz w:val="22"/>
          <w:szCs w:val="22"/>
        </w:rPr>
        <w:t>delivers high quality information to students about their learning;</w:t>
      </w:r>
    </w:p>
    <w:p w:rsidR="00847EE4" w:rsidRPr="007C4120" w:rsidRDefault="00847EE4" w:rsidP="00847EE4">
      <w:pPr>
        <w:pStyle w:val="ListParagraph"/>
        <w:numPr>
          <w:ilvl w:val="0"/>
          <w:numId w:val="4"/>
        </w:numPr>
        <w:spacing w:before="170" w:line="276" w:lineRule="auto"/>
        <w:ind w:right="720"/>
        <w:jc w:val="both"/>
        <w:rPr>
          <w:sz w:val="22"/>
          <w:szCs w:val="22"/>
        </w:rPr>
      </w:pPr>
      <w:r w:rsidRPr="007C4120">
        <w:rPr>
          <w:sz w:val="22"/>
          <w:szCs w:val="22"/>
        </w:rPr>
        <w:t>encourages teacher and peer dialogue around learning;</w:t>
      </w:r>
    </w:p>
    <w:p w:rsidR="00847EE4" w:rsidRPr="007C4120" w:rsidRDefault="00847EE4" w:rsidP="00847EE4">
      <w:pPr>
        <w:pStyle w:val="ListParagraph"/>
        <w:numPr>
          <w:ilvl w:val="0"/>
          <w:numId w:val="4"/>
        </w:numPr>
        <w:spacing w:before="170" w:line="276" w:lineRule="auto"/>
        <w:ind w:right="720"/>
        <w:jc w:val="both"/>
        <w:rPr>
          <w:sz w:val="22"/>
          <w:szCs w:val="22"/>
        </w:rPr>
      </w:pPr>
      <w:r w:rsidRPr="007C4120">
        <w:rPr>
          <w:sz w:val="22"/>
          <w:szCs w:val="22"/>
        </w:rPr>
        <w:t>encourages positive motivational beliefs and self-esteem;</w:t>
      </w:r>
    </w:p>
    <w:p w:rsidR="00847EE4" w:rsidRPr="007C4120" w:rsidRDefault="00847EE4" w:rsidP="00847EE4">
      <w:pPr>
        <w:pStyle w:val="ListParagraph"/>
        <w:numPr>
          <w:ilvl w:val="0"/>
          <w:numId w:val="4"/>
        </w:numPr>
        <w:spacing w:before="170" w:line="276" w:lineRule="auto"/>
        <w:ind w:right="720"/>
        <w:jc w:val="both"/>
        <w:rPr>
          <w:sz w:val="22"/>
          <w:szCs w:val="22"/>
        </w:rPr>
      </w:pPr>
      <w:r w:rsidRPr="007C4120">
        <w:rPr>
          <w:sz w:val="22"/>
          <w:szCs w:val="22"/>
        </w:rPr>
        <w:t>provides opportunities to close the gap between current and desired performance;</w:t>
      </w:r>
    </w:p>
    <w:p w:rsidR="00847EE4" w:rsidRPr="00847EE4" w:rsidRDefault="00847EE4" w:rsidP="00847EE4">
      <w:pPr>
        <w:pStyle w:val="ListParagraph"/>
        <w:numPr>
          <w:ilvl w:val="0"/>
          <w:numId w:val="4"/>
        </w:numPr>
        <w:spacing w:before="170" w:line="276" w:lineRule="auto"/>
        <w:ind w:right="720"/>
        <w:jc w:val="both"/>
        <w:rPr>
          <w:sz w:val="22"/>
          <w:szCs w:val="22"/>
        </w:rPr>
      </w:pPr>
      <w:r w:rsidRPr="007C4120">
        <w:rPr>
          <w:sz w:val="22"/>
          <w:szCs w:val="22"/>
        </w:rPr>
        <w:t>provides information to teachers that can be used to help shape the teaching</w:t>
      </w:r>
      <w:r>
        <w:rPr>
          <w:sz w:val="22"/>
          <w:szCs w:val="22"/>
        </w:rPr>
        <w:t>.</w:t>
      </w:r>
      <w:bookmarkStart w:id="0" w:name="_GoBack"/>
      <w:bookmarkEnd w:id="0"/>
    </w:p>
    <w:p w:rsidR="00581A60" w:rsidRPr="0075269E" w:rsidRDefault="00581A60" w:rsidP="00581A60">
      <w:pPr>
        <w:spacing w:before="170" w:line="276" w:lineRule="auto"/>
        <w:ind w:left="720" w:right="720"/>
        <w:jc w:val="both"/>
        <w:rPr>
          <w:rFonts w:ascii="Times New Roman" w:hAnsi="Times New Roman" w:cs="Times New Roman"/>
          <w:b/>
          <w:bCs/>
          <w:sz w:val="22"/>
          <w:szCs w:val="22"/>
        </w:rPr>
      </w:pPr>
      <w:r w:rsidRPr="0075269E">
        <w:rPr>
          <w:rFonts w:ascii="Times New Roman" w:hAnsi="Times New Roman" w:cs="Times New Roman"/>
          <w:b/>
          <w:bCs/>
          <w:sz w:val="22"/>
          <w:szCs w:val="22"/>
        </w:rPr>
        <w:t>REFERENCES</w:t>
      </w:r>
    </w:p>
    <w:p w:rsidR="00704FEC" w:rsidRPr="0075269E" w:rsidRDefault="00704FEC" w:rsidP="00704FEC">
      <w:pPr>
        <w:pStyle w:val="ListParagraph"/>
        <w:numPr>
          <w:ilvl w:val="0"/>
          <w:numId w:val="2"/>
        </w:numPr>
        <w:rPr>
          <w:rFonts w:ascii="Times New Roman" w:eastAsia="Times New Roman" w:hAnsi="Times New Roman" w:cs="Times New Roman"/>
        </w:rPr>
      </w:pPr>
      <w:r w:rsidRPr="0075269E">
        <w:rPr>
          <w:rFonts w:ascii="Times New Roman" w:eastAsia="Times New Roman" w:hAnsi="Times New Roman" w:cs="Times New Roman"/>
          <w:color w:val="3A3A3A"/>
          <w:sz w:val="23"/>
          <w:szCs w:val="23"/>
          <w:shd w:val="clear" w:color="auto" w:fill="FFFFFF"/>
        </w:rPr>
        <w:t>Johnson, Rebecca Grooms. "Recent Research in Pedagogy: Intrinsic versus Extrinsic Motivation." </w:t>
      </w:r>
      <w:r w:rsidRPr="0075269E">
        <w:rPr>
          <w:rFonts w:ascii="Times New Roman" w:eastAsia="Times New Roman" w:hAnsi="Times New Roman" w:cs="Times New Roman"/>
          <w:i/>
          <w:iCs/>
          <w:color w:val="3A3A3A"/>
          <w:sz w:val="23"/>
          <w:szCs w:val="23"/>
          <w:shd w:val="clear" w:color="auto" w:fill="FFFFFF"/>
        </w:rPr>
        <w:t>American Music Teacher</w:t>
      </w:r>
      <w:r w:rsidRPr="0075269E">
        <w:rPr>
          <w:rFonts w:ascii="Times New Roman" w:eastAsia="Times New Roman" w:hAnsi="Times New Roman" w:cs="Times New Roman"/>
          <w:color w:val="3A3A3A"/>
          <w:sz w:val="23"/>
          <w:szCs w:val="23"/>
          <w:shd w:val="clear" w:color="auto" w:fill="FFFFFF"/>
        </w:rPr>
        <w:t>49.2 (1999): 59. Web.</w:t>
      </w:r>
    </w:p>
    <w:p w:rsidR="0075269E" w:rsidRPr="0075269E" w:rsidRDefault="0075269E" w:rsidP="0075269E">
      <w:pPr>
        <w:pStyle w:val="ListParagraph"/>
        <w:numPr>
          <w:ilvl w:val="0"/>
          <w:numId w:val="2"/>
        </w:numPr>
        <w:spacing w:before="170" w:line="276" w:lineRule="auto"/>
        <w:ind w:right="720"/>
        <w:rPr>
          <w:rFonts w:ascii="Times New Roman" w:hAnsi="Times New Roman" w:cs="Times New Roman"/>
          <w:sz w:val="22"/>
          <w:szCs w:val="22"/>
        </w:rPr>
      </w:pPr>
      <w:r>
        <w:rPr>
          <w:rFonts w:ascii="Times New Roman" w:hAnsi="Times New Roman" w:cs="Times New Roman"/>
          <w:sz w:val="22"/>
          <w:szCs w:val="22"/>
        </w:rPr>
        <w:t xml:space="preserve">Sadler, </w:t>
      </w:r>
      <w:r w:rsidRPr="0075269E">
        <w:rPr>
          <w:rFonts w:ascii="Times New Roman" w:hAnsi="Times New Roman" w:cs="Times New Roman"/>
          <w:sz w:val="22"/>
          <w:szCs w:val="22"/>
        </w:rPr>
        <w:t>D. Royce (1989). Formative assessment and the design of instructional systems. Instructional Science 18:119-144 (1989). Web.</w:t>
      </w:r>
    </w:p>
    <w:p w:rsidR="00847EE4" w:rsidRDefault="00847EE4" w:rsidP="00847EE4">
      <w:pPr>
        <w:pStyle w:val="ListParagraph"/>
        <w:numPr>
          <w:ilvl w:val="0"/>
          <w:numId w:val="2"/>
        </w:numPr>
        <w:rPr>
          <w:sz w:val="22"/>
          <w:szCs w:val="22"/>
        </w:rPr>
      </w:pPr>
      <w:r>
        <w:rPr>
          <w:sz w:val="22"/>
          <w:szCs w:val="22"/>
        </w:rPr>
        <w:lastRenderedPageBreak/>
        <w:t xml:space="preserve">Nicol, David, </w:t>
      </w:r>
      <w:r w:rsidRPr="00CB1EC5">
        <w:rPr>
          <w:sz w:val="22"/>
          <w:szCs w:val="22"/>
        </w:rPr>
        <w:t>M</w:t>
      </w:r>
      <w:r>
        <w:rPr>
          <w:sz w:val="22"/>
          <w:szCs w:val="22"/>
        </w:rPr>
        <w:t>acfarlane</w:t>
      </w:r>
      <w:r w:rsidRPr="00CB1EC5">
        <w:rPr>
          <w:sz w:val="22"/>
          <w:szCs w:val="22"/>
        </w:rPr>
        <w:t>-</w:t>
      </w:r>
      <w:r>
        <w:rPr>
          <w:sz w:val="22"/>
          <w:szCs w:val="22"/>
        </w:rPr>
        <w:t xml:space="preserve">dick, Debra. (2005). </w:t>
      </w:r>
      <w:r w:rsidRPr="00CB1EC5">
        <w:rPr>
          <w:sz w:val="22"/>
          <w:szCs w:val="22"/>
        </w:rPr>
        <w:t>Formative assessment and self-regulated learning: A model and seven principles of good feedback practice</w:t>
      </w:r>
      <w:r>
        <w:rPr>
          <w:sz w:val="22"/>
          <w:szCs w:val="22"/>
        </w:rPr>
        <w:t xml:space="preserve">. </w:t>
      </w:r>
    </w:p>
    <w:p w:rsidR="00704FEC" w:rsidRPr="0075269E" w:rsidRDefault="00704FEC" w:rsidP="00581A60">
      <w:pPr>
        <w:pStyle w:val="ListParagraph"/>
        <w:numPr>
          <w:ilvl w:val="0"/>
          <w:numId w:val="2"/>
        </w:numPr>
        <w:spacing w:before="170" w:line="276" w:lineRule="auto"/>
        <w:ind w:right="720"/>
        <w:rPr>
          <w:rFonts w:ascii="Times New Roman" w:hAnsi="Times New Roman" w:cs="Times New Roman"/>
          <w:sz w:val="22"/>
          <w:szCs w:val="22"/>
        </w:rPr>
      </w:pPr>
    </w:p>
    <w:sectPr w:rsidR="00704FEC" w:rsidRPr="0075269E" w:rsidSect="009C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D4A"/>
    <w:multiLevelType w:val="hybridMultilevel"/>
    <w:tmpl w:val="FBA0F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46290"/>
    <w:multiLevelType w:val="hybridMultilevel"/>
    <w:tmpl w:val="AB3A4AA8"/>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5D0E9D"/>
    <w:multiLevelType w:val="hybridMultilevel"/>
    <w:tmpl w:val="24B6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B5D26"/>
    <w:multiLevelType w:val="hybridMultilevel"/>
    <w:tmpl w:val="C9F65FF0"/>
    <w:lvl w:ilvl="0" w:tplc="F530B4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60"/>
    <w:rsid w:val="00276236"/>
    <w:rsid w:val="003B1100"/>
    <w:rsid w:val="00581A60"/>
    <w:rsid w:val="00704FEC"/>
    <w:rsid w:val="0075269E"/>
    <w:rsid w:val="00847EE4"/>
    <w:rsid w:val="009C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10285"/>
  <w14:defaultImageDpi w14:val="32767"/>
  <w15:chartTrackingRefBased/>
  <w15:docId w15:val="{29085749-D898-094A-A90F-786D93E0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19926">
      <w:bodyDiv w:val="1"/>
      <w:marLeft w:val="0"/>
      <w:marRight w:val="0"/>
      <w:marTop w:val="0"/>
      <w:marBottom w:val="0"/>
      <w:divBdr>
        <w:top w:val="none" w:sz="0" w:space="0" w:color="auto"/>
        <w:left w:val="none" w:sz="0" w:space="0" w:color="auto"/>
        <w:bottom w:val="none" w:sz="0" w:space="0" w:color="auto"/>
        <w:right w:val="none" w:sz="0" w:space="0" w:color="auto"/>
      </w:divBdr>
    </w:div>
    <w:div w:id="439567005">
      <w:bodyDiv w:val="1"/>
      <w:marLeft w:val="0"/>
      <w:marRight w:val="0"/>
      <w:marTop w:val="0"/>
      <w:marBottom w:val="0"/>
      <w:divBdr>
        <w:top w:val="none" w:sz="0" w:space="0" w:color="auto"/>
        <w:left w:val="none" w:sz="0" w:space="0" w:color="auto"/>
        <w:bottom w:val="none" w:sz="0" w:space="0" w:color="auto"/>
        <w:right w:val="none" w:sz="0" w:space="0" w:color="auto"/>
      </w:divBdr>
    </w:div>
    <w:div w:id="538249531">
      <w:bodyDiv w:val="1"/>
      <w:marLeft w:val="0"/>
      <w:marRight w:val="0"/>
      <w:marTop w:val="0"/>
      <w:marBottom w:val="0"/>
      <w:divBdr>
        <w:top w:val="none" w:sz="0" w:space="0" w:color="auto"/>
        <w:left w:val="none" w:sz="0" w:space="0" w:color="auto"/>
        <w:bottom w:val="none" w:sz="0" w:space="0" w:color="auto"/>
        <w:right w:val="none" w:sz="0" w:space="0" w:color="auto"/>
      </w:divBdr>
    </w:div>
    <w:div w:id="888105450">
      <w:bodyDiv w:val="1"/>
      <w:marLeft w:val="0"/>
      <w:marRight w:val="0"/>
      <w:marTop w:val="0"/>
      <w:marBottom w:val="0"/>
      <w:divBdr>
        <w:top w:val="none" w:sz="0" w:space="0" w:color="auto"/>
        <w:left w:val="none" w:sz="0" w:space="0" w:color="auto"/>
        <w:bottom w:val="none" w:sz="0" w:space="0" w:color="auto"/>
        <w:right w:val="none" w:sz="0" w:space="0" w:color="auto"/>
      </w:divBdr>
    </w:div>
    <w:div w:id="1039477196">
      <w:bodyDiv w:val="1"/>
      <w:marLeft w:val="0"/>
      <w:marRight w:val="0"/>
      <w:marTop w:val="0"/>
      <w:marBottom w:val="0"/>
      <w:divBdr>
        <w:top w:val="none" w:sz="0" w:space="0" w:color="auto"/>
        <w:left w:val="none" w:sz="0" w:space="0" w:color="auto"/>
        <w:bottom w:val="none" w:sz="0" w:space="0" w:color="auto"/>
        <w:right w:val="none" w:sz="0" w:space="0" w:color="auto"/>
      </w:divBdr>
    </w:div>
    <w:div w:id="1064529052">
      <w:bodyDiv w:val="1"/>
      <w:marLeft w:val="0"/>
      <w:marRight w:val="0"/>
      <w:marTop w:val="0"/>
      <w:marBottom w:val="0"/>
      <w:divBdr>
        <w:top w:val="none" w:sz="0" w:space="0" w:color="auto"/>
        <w:left w:val="none" w:sz="0" w:space="0" w:color="auto"/>
        <w:bottom w:val="none" w:sz="0" w:space="0" w:color="auto"/>
        <w:right w:val="none" w:sz="0" w:space="0" w:color="auto"/>
      </w:divBdr>
    </w:div>
    <w:div w:id="1171263451">
      <w:bodyDiv w:val="1"/>
      <w:marLeft w:val="0"/>
      <w:marRight w:val="0"/>
      <w:marTop w:val="0"/>
      <w:marBottom w:val="0"/>
      <w:divBdr>
        <w:top w:val="none" w:sz="0" w:space="0" w:color="auto"/>
        <w:left w:val="none" w:sz="0" w:space="0" w:color="auto"/>
        <w:bottom w:val="none" w:sz="0" w:space="0" w:color="auto"/>
        <w:right w:val="none" w:sz="0" w:space="0" w:color="auto"/>
      </w:divBdr>
    </w:div>
    <w:div w:id="1263614427">
      <w:bodyDiv w:val="1"/>
      <w:marLeft w:val="0"/>
      <w:marRight w:val="0"/>
      <w:marTop w:val="0"/>
      <w:marBottom w:val="0"/>
      <w:divBdr>
        <w:top w:val="none" w:sz="0" w:space="0" w:color="auto"/>
        <w:left w:val="none" w:sz="0" w:space="0" w:color="auto"/>
        <w:bottom w:val="none" w:sz="0" w:space="0" w:color="auto"/>
        <w:right w:val="none" w:sz="0" w:space="0" w:color="auto"/>
      </w:divBdr>
    </w:div>
    <w:div w:id="1511263445">
      <w:bodyDiv w:val="1"/>
      <w:marLeft w:val="0"/>
      <w:marRight w:val="0"/>
      <w:marTop w:val="0"/>
      <w:marBottom w:val="0"/>
      <w:divBdr>
        <w:top w:val="none" w:sz="0" w:space="0" w:color="auto"/>
        <w:left w:val="none" w:sz="0" w:space="0" w:color="auto"/>
        <w:bottom w:val="none" w:sz="0" w:space="0" w:color="auto"/>
        <w:right w:val="none" w:sz="0" w:space="0" w:color="auto"/>
      </w:divBdr>
    </w:div>
    <w:div w:id="1543056240">
      <w:bodyDiv w:val="1"/>
      <w:marLeft w:val="0"/>
      <w:marRight w:val="0"/>
      <w:marTop w:val="0"/>
      <w:marBottom w:val="0"/>
      <w:divBdr>
        <w:top w:val="none" w:sz="0" w:space="0" w:color="auto"/>
        <w:left w:val="none" w:sz="0" w:space="0" w:color="auto"/>
        <w:bottom w:val="none" w:sz="0" w:space="0" w:color="auto"/>
        <w:right w:val="none" w:sz="0" w:space="0" w:color="auto"/>
      </w:divBdr>
    </w:div>
    <w:div w:id="1806585495">
      <w:bodyDiv w:val="1"/>
      <w:marLeft w:val="0"/>
      <w:marRight w:val="0"/>
      <w:marTop w:val="0"/>
      <w:marBottom w:val="0"/>
      <w:divBdr>
        <w:top w:val="none" w:sz="0" w:space="0" w:color="auto"/>
        <w:left w:val="none" w:sz="0" w:space="0" w:color="auto"/>
        <w:bottom w:val="none" w:sz="0" w:space="0" w:color="auto"/>
        <w:right w:val="none" w:sz="0" w:space="0" w:color="auto"/>
      </w:divBdr>
    </w:div>
    <w:div w:id="1926108181">
      <w:bodyDiv w:val="1"/>
      <w:marLeft w:val="0"/>
      <w:marRight w:val="0"/>
      <w:marTop w:val="0"/>
      <w:marBottom w:val="0"/>
      <w:divBdr>
        <w:top w:val="none" w:sz="0" w:space="0" w:color="auto"/>
        <w:left w:val="none" w:sz="0" w:space="0" w:color="auto"/>
        <w:bottom w:val="none" w:sz="0" w:space="0" w:color="auto"/>
        <w:right w:val="none" w:sz="0" w:space="0" w:color="auto"/>
      </w:divBdr>
    </w:div>
    <w:div w:id="1961297471">
      <w:bodyDiv w:val="1"/>
      <w:marLeft w:val="0"/>
      <w:marRight w:val="0"/>
      <w:marTop w:val="0"/>
      <w:marBottom w:val="0"/>
      <w:divBdr>
        <w:top w:val="none" w:sz="0" w:space="0" w:color="auto"/>
        <w:left w:val="none" w:sz="0" w:space="0" w:color="auto"/>
        <w:bottom w:val="none" w:sz="0" w:space="0" w:color="auto"/>
        <w:right w:val="none" w:sz="0" w:space="0" w:color="auto"/>
      </w:divBdr>
    </w:div>
    <w:div w:id="20356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2</cp:revision>
  <dcterms:created xsi:type="dcterms:W3CDTF">2019-06-29T19:32:00Z</dcterms:created>
  <dcterms:modified xsi:type="dcterms:W3CDTF">2019-06-29T20:21:00Z</dcterms:modified>
</cp:coreProperties>
</file>