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5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tulo1"/>
        <w:jc w:val="center"/>
        <w:spacing w:before="240" w:after="140"/>
      </w:pPr>
      <w:r>
        <w:rPr>
          <w:b/>
          <w:sz w:val="38"/>
          <w:color w:val="0F172A"/>
        </w:rPr>
        <w:t xml:space="preserve">INFORME TÉCNICO DE PRUEBAS UNITARIAS Y ANÁLISIS DE COBERTURA DE CÓDIGO</w:t>
      </w:r>
    </w:p>
    <w:p>
      <w:pPr>
        <w:pStyle w:val="Ttulo1"/>
        <w:spacing w:before="200" w:after="100"/>
      </w:pPr>
      <w:r>
        <w:rPr>
          <w:b/>
          <w:sz w:val="30"/>
          <w:color w:val="2563EB"/>
        </w:rPr>
        <w:t xml:space="preserve">EVALUACIÓN PARCIAL 2 — DSY1104 DESARROLLO FULL STACK II (30%)</w:t>
      </w:r>
    </w:p>
    <w:p>
      <w:pPr>
        <w:pBdr>
          <w:bottom w:val="single" w:sz="8" w:space="4" w:color="0F172A"/>
        </w:pBdr>
        <w:spacing w:after="160"/>
      </w:pPr>
    </w:p>
    <w:p>
      <w:pPr>
        <w:pStyle w:val="Ttulo2"/>
        <w:spacing w:before="160" w:after="80"/>
      </w:pPr>
      <w:r>
        <w:rPr>
          <w:b/>
          <w:sz w:val="24"/>
          <w:color w:val="0F172A"/>
        </w:rPr>
        <w:t xml:space="preserve">DATOS INSTITUCIONALES DEL PROYECTO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b/>
        </w:rPr>
        <w:t xml:space="preserve">Institución:</w:t>
      </w:r>
      <w:r>
        <w:t xml:space="preserve"> Duoc UC — Escuela de Informática y Telecomunicaciones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b/>
        </w:rPr>
        <w:t xml:space="preserve">Sede:</w:t>
      </w:r>
      <w:r>
        <w:t xml:space="preserve"> La Serena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b/>
        </w:rPr>
        <w:t xml:space="preserve">Carrera:</w:t>
      </w:r>
      <w:r>
        <w:t xml:space="preserve"> Ingeniería en Informática / Analista Programador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b/>
        </w:rPr>
        <w:t xml:space="preserve">Asignatura:</w:t>
      </w:r>
      <w:r>
        <w:t xml:space="preserve"> DSY1104 - Desarrollo Full Stack II (Foco Frontend)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b/>
        </w:rPr>
        <w:t xml:space="preserve">Docente:</w:t>
      </w:r>
      <w:r>
        <w:t xml:space="preserve"> Profesor Evaluador Cátedra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b/>
        </w:rPr>
        <w:t xml:space="preserve">Estudiante:</w:t>
      </w:r>
      <w:r>
        <w:t xml:space="preserve"> Sebastián Miranda (y equipo de desarrollo)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b/>
        </w:rPr>
        <w:t xml:space="preserve">Proyecto:</w:t>
      </w:r>
      <w:r>
        <w:t xml:space="preserve"> Portal Web Ferretería Los Maestros (Fase 2 - SPA Vite + React)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b/>
        </w:rPr>
        <w:t xml:space="preserve">Fecha:</w:t>
      </w:r>
      <w:r>
        <w:t xml:space="preserve"> Octubre 2026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b/>
        </w:rPr>
        <w:t xml:space="preserve">Entorno de Pruebas:</w:t>
      </w:r>
      <w:r>
        <w:t xml:space="preserve"> Vitest v4 + JSDOM + @testing-library/react + @vitest/coverage-v8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b/>
        </w:rPr>
        <w:t xml:space="preserve">Resultado Global:</w:t>
      </w:r>
      <w:r>
        <w:t xml:space="preserve"> </w:t>
      </w:r>
      <w:r>
        <w:rPr>
          <w:b/>
        </w:rPr>
        <w:t xml:space="preserve">49 Pruebas Ejecutadas / 49 Pruebas Exitosas (100% PASS)</w:t>
      </w:r>
    </w:p>
    <w:p>
      <w:pPr>
        <w:pBdr>
          <w:bottom w:val="single" w:sz="8" w:space="4" w:color="0F172A"/>
        </w:pBdr>
        <w:spacing w:after="160"/>
      </w:pPr>
    </w:p>
    <w:p>
      <w:pPr>
        <w:pStyle w:val="Ttulo1"/>
        <w:spacing w:before="200" w:after="100"/>
      </w:pPr>
      <w:r>
        <w:rPr>
          <w:b/>
          <w:sz w:val="30"/>
          <w:color w:val="2563EB"/>
        </w:rPr>
        <w:t xml:space="preserve">ÍNDICE DEL INFORME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1. </w:t>
      </w:r>
      <w:r>
        <w:t xml:space="preserve">[INTRODUCCIÓN Y MARCO TEÓRICO](#1-introducción-y-marco-teórico)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t xml:space="preserve">1.1. Objetivos del Plan de Pruebas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t xml:space="preserve">1.2. Marco Conceptual e Interpretación de Métricas de Cobertura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2. </w:t>
      </w:r>
      <w:r>
        <w:t xml:space="preserve">[ENTORNO Y CONFIGURACIÓN TECNOLÓGICA](#2-entorno-y-configuración-tecnológica)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t xml:space="preserve">2.1. Herramientas Utilizadas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t xml:space="preserve">2.2. Configuración en </w:t>
      </w:r>
      <w:r>
        <w:rPr>
          <w:rFonts w:ascii="Consolas" w:hAnsi="Consolas"/>
          <w:color w:val="EA580C"/>
        </w:rPr>
        <w:t xml:space="preserve">vite.config.js</w:t>
      </w:r>
      <w:r>
        <w:t xml:space="preserve"> y </w:t>
      </w:r>
      <w:r>
        <w:rPr>
          <w:rFonts w:ascii="Consolas" w:hAnsi="Consolas"/>
          <w:color w:val="EA580C"/>
        </w:rPr>
        <w:t xml:space="preserve">package.json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3. </w:t>
      </w:r>
      <w:r>
        <w:t xml:space="preserve">[ESTRATEGIA DE PRUEBAS Y ARQUITECTURA DE SUITES](#3-estrategia-de-pruebas-y-arquitectura-de-suites)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t xml:space="preserve">3.1. Pruebas Unitarias de Lógica de Negocio y Servicios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t xml:space="preserve">3.2. Pruebas de Componentes y Renderizado Condicional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t xml:space="preserve">3.3. Pruebas de Integración de Vistas y Páginas de Flujo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4. </w:t>
      </w:r>
      <w:r>
        <w:t xml:space="preserve">[MATRIZ EXHAUSTIVA DE CASOS DE PRUEBA EJECUTADOS (49 TESTS)](#4-matriz-exhaustiva-de-casos-de-prueba-ejecutados-49-tests)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5. </w:t>
      </w:r>
      <w:r>
        <w:t xml:space="preserve">[REPORTE OFICIAL DE COBERTURA DE CÓDIGO (VITEST V8)](#5-reporte-oficial-de-cobertura-de-código-vitest-v8)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6. </w:t>
      </w:r>
      <w:r>
        <w:t xml:space="preserve">[INTERPRETACIÓN DE RESULTADOS Y ANÁLISIS DE CÓDIGO NO PROBADO](#6-interpretación-de-resultados-y-análisis-de-código-no-probado)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t xml:space="preserve">6.1. Evaluación del Porcentaje de Líneas y Sentencias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t xml:space="preserve">6.2. Evaluación del Porcentaje de Ramas Condicionales y Casos Límite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t xml:space="preserve">6.3. Justificación y Mitigación de Código No Probado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7. </w:t>
      </w:r>
      <w:r>
        <w:t xml:space="preserve">[CONCLUSIONES Y ASEGURAMIENTO DE CALIDAD](#7-conclusiones-y-aseguramiento-de-calidad)</w:t>
      </w:r>
    </w:p>
    <w:p>
      <w:pPr>
        <w:pBdr>
          <w:bottom w:val="single" w:sz="8" w:space="4" w:color="0F172A"/>
        </w:pBdr>
        <w:spacing w:after="160"/>
      </w:pPr>
    </w:p>
    <w:p>
      <w:pPr>
        <w:pStyle w:val="Ttulo1"/>
        <w:spacing w:before="200" w:after="100"/>
      </w:pPr>
      <w:r>
        <w:rPr>
          <w:b/>
          <w:sz w:val="30"/>
          <w:color w:val="2563EB"/>
        </w:rPr>
        <w:t xml:space="preserve">1. INTRODUCCIÓN Y MARCO TEÓRICO</w:t>
      </w:r>
    </w:p>
    <w:p>
      <w:pPr>
        <w:pStyle w:val="Ttulo2"/>
        <w:spacing w:before="160" w:after="80"/>
      </w:pPr>
      <w:r>
        <w:rPr>
          <w:b/>
          <w:sz w:val="24"/>
          <w:color w:val="0F172A"/>
        </w:rPr>
        <w:t xml:space="preserve">1.1. Objetivos del Plan de Pruebas</w:t>
      </w:r>
    </w:p>
    <w:p>
      <w:pPr>
        <w:spacing w:after="100"/>
      </w:pPr>
      <w:r>
        <w:t xml:space="preserve">El objetivo primordial de este informe técnico es evidenciar la verificación y validación sistemática de la aplicación web de </w:t>
      </w:r>
      <w:r>
        <w:rPr>
          <w:b/>
        </w:rPr>
        <w:t xml:space="preserve">Ferretería Los Maestros</w:t>
      </w:r>
      <w:r>
        <w:t xml:space="preserve"> tras su migración a </w:t>
      </w:r>
      <w:r>
        <w:rPr>
          <w:b/>
        </w:rPr>
        <w:t xml:space="preserve">Vite + React</w:t>
      </w:r>
      <w:r>
        <w:t xml:space="preserve">.</w:t>
      </w:r>
    </w:p>
    <w:p>
      <w:pPr>
        <w:spacing w:after="100"/>
      </w:pPr>
      <w:r>
        <w:t xml:space="preserve">En concordancia con las pautas pedagógicas del curso DSY1104, el plan de pruebas persigue: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1. </w:t>
      </w:r>
      <w:r>
        <w:rPr>
          <w:b/>
        </w:rPr>
        <w:t xml:space="preserve">Verificar la corrección algorítmica</w:t>
      </w:r>
      <w:r>
        <w:t xml:space="preserve"> de las funciones críticas de negocio (validación matemática de RUN chileno por Módulo 11, cálculo de totales de compra, deducción de existencias en bodega y validación de líneas de crédito para contratistas).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2. </w:t>
      </w:r>
      <w:r>
        <w:rPr>
          <w:b/>
        </w:rPr>
        <w:t xml:space="preserve">Garantizar la estabilidad de los componentes de interfaz</w:t>
      </w:r>
      <w:r>
        <w:t xml:space="preserve">, certificando que los elementos reaccionen idóneamente ante cambios de estado, propiedades y eventos de usuario (renderizado condicional de stock crítico, botones deshabilitados por falta de inventario, etc.).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3. </w:t>
      </w:r>
      <w:r>
        <w:rPr>
          <w:b/>
        </w:rPr>
        <w:t xml:space="preserve">Validar la experiencia en vistas interactivas clave</w:t>
      </w:r>
      <w:r>
        <w:t xml:space="preserve"> (formulario de contacto con retroalimentación, inicio de sesión con validación de credenciales y recalculo dinámico del carrito de compras).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4. </w:t>
      </w:r>
      <w:r>
        <w:rPr>
          <w:b/>
        </w:rPr>
        <w:t xml:space="preserve">Analizar la cobertura de código</w:t>
      </w:r>
      <w:r>
        <w:t xml:space="preserve"> siguiendo las directrices del documento de cátedra *2.3.4 MC_Informes de cobertura*, interpretando los porcentajes de ejecución e identificando áreas no cubiertas.</w:t>
      </w:r>
    </w:p>
    <w:p>
      <w:pPr>
        <w:pStyle w:val="Ttulo2"/>
        <w:spacing w:before="160" w:after="80"/>
      </w:pPr>
      <w:r>
        <w:rPr>
          <w:b/>
          <w:sz w:val="24"/>
          <w:color w:val="0F172A"/>
        </w:rPr>
        <w:t xml:space="preserve">1.2. Marco Conceptual e Interpretación de Métricas de Cobertura</w:t>
      </w:r>
    </w:p>
    <w:p>
      <w:pPr>
        <w:spacing w:after="100"/>
      </w:pPr>
      <w:r>
        <w:t xml:space="preserve">De acuerdo al documento técnico de referencia (*2.3.4 MC_Informes de cobertura*), la cobertura de código evalúa cuantitativamente la amplitud con la que el código fuente es ejercitado por la suite de pruebas mediante cuatro métricas fundamentales: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1. </w:t>
      </w:r>
      <w:r>
        <w:rPr>
          <w:b/>
        </w:rPr>
        <w:t xml:space="preserve">Porcentaje de Líneas Cubiertas (% Lines):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t xml:space="preserve">*Definición:* Proporción de líneas físicas de código fuente ejecutadas durante las pruebas respecto al total de líneas.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t xml:space="preserve">*Interpretación:* Un alto porcentaje indica que la mayor parte del código es transitada durante las pruebas. Sin embargo, no garantiza por sí sola que todas las combinaciones lógicas hayan sido exploradas.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2. </w:t>
      </w:r>
      <w:r>
        <w:rPr>
          <w:b/>
        </w:rPr>
        <w:t xml:space="preserve">Porcentaje de Sentencias (% Statements):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t xml:space="preserve">*Definición:* Medida de las instrucciones ejecutables (declaraciones, asignaciones, llamadas a métodos) procesadas por el motor de pruebas.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3. </w:t>
      </w:r>
      <w:r>
        <w:rPr>
          <w:b/>
        </w:rPr>
        <w:t xml:space="preserve">Porcentaje de Ramas Condicionales (% Branch):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t xml:space="preserve">*Definición:* Mide la proporción de bifurcaciones lógicas (</w:t>
      </w:r>
      <w:r>
        <w:rPr>
          <w:rFonts w:ascii="Consolas" w:hAnsi="Consolas"/>
          <w:color w:val="EA580C"/>
        </w:rPr>
        <w:t xml:space="preserve">if</w:t>
      </w:r>
      <w:r>
        <w:t xml:space="preserve">, </w:t>
      </w:r>
      <w:r>
        <w:rPr>
          <w:rFonts w:ascii="Consolas" w:hAnsi="Consolas"/>
          <w:color w:val="EA580C"/>
        </w:rPr>
        <w:t xml:space="preserve">else</w:t>
      </w:r>
      <w:r>
        <w:t xml:space="preserve">, </w:t>
      </w:r>
      <w:r>
        <w:rPr>
          <w:rFonts w:ascii="Consolas" w:hAnsi="Consolas"/>
          <w:color w:val="EA580C"/>
        </w:rPr>
        <w:t xml:space="preserve">switch</w:t>
      </w:r>
      <w:r>
        <w:t xml:space="preserve">, operadores ternarios </w:t>
      </w:r>
      <w:r>
        <w:rPr>
          <w:rFonts w:ascii="Consolas" w:hAnsi="Consolas"/>
          <w:color w:val="EA580C"/>
        </w:rPr>
        <w:t xml:space="preserve">?:</w:t>
      </w:r>
      <w:r>
        <w:t xml:space="preserve">, cortocircuitos </w:t>
      </w:r>
      <w:r>
        <w:rPr>
          <w:rFonts w:ascii="Consolas" w:hAnsi="Consolas"/>
          <w:color w:val="EA580C"/>
        </w:rPr>
        <w:t xml:space="preserve">&amp;&amp;</w:t>
      </w:r>
      <w:r>
        <w:t xml:space="preserve">, </w:t>
      </w:r>
      <w:r>
        <w:rPr>
          <w:rFonts w:ascii="Consolas" w:hAnsi="Consolas"/>
          <w:color w:val="EA580C"/>
        </w:rPr>
        <w:t xml:space="preserve">||</w:t>
      </w:r>
      <w:r>
        <w:t xml:space="preserve">) que han sido evaluadas tanto en sus caminos verdaderos como falsos.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t xml:space="preserve">*Interpretación:* Es la métrica más rigurosa para prevenir errores en escenarios de borde y contingencias.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4. </w:t>
      </w:r>
      <w:r>
        <w:rPr>
          <w:b/>
        </w:rPr>
        <w:t xml:space="preserve">Porcentaje de Funciones (% Funcs):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t xml:space="preserve">*Definición:* Porcentaje de funciones y métodos declarados que fueron invocados al menos una vez durante el ciclo de pruebas.</w:t>
      </w:r>
    </w:p>
    <w:p>
      <w:pPr>
        <w:pBdr>
          <w:bottom w:val="single" w:sz="8" w:space="4" w:color="0F172A"/>
        </w:pBdr>
        <w:spacing w:after="160"/>
      </w:pPr>
    </w:p>
    <w:p>
      <w:pPr>
        <w:pStyle w:val="Ttulo1"/>
        <w:spacing w:before="200" w:after="100"/>
      </w:pPr>
      <w:r>
        <w:rPr>
          <w:b/>
          <w:sz w:val="30"/>
          <w:color w:val="2563EB"/>
        </w:rPr>
        <w:t xml:space="preserve">2. ENTORNO Y CONFIGURACIÓN TECNOLÓGICA</w:t>
      </w:r>
    </w:p>
    <w:p>
      <w:pPr>
        <w:pStyle w:val="Ttulo2"/>
        <w:spacing w:before="160" w:after="80"/>
      </w:pPr>
      <w:r>
        <w:rPr>
          <w:b/>
          <w:sz w:val="24"/>
          <w:color w:val="0F172A"/>
        </w:rPr>
        <w:t xml:space="preserve">2.1. Herramientas Utilizadas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b/>
        </w:rPr>
        <w:t xml:space="preserve">Vitest (v4.0.18):</w:t>
      </w:r>
      <w:r>
        <w:t xml:space="preserve"> Motor de pruebas unitarias nativo para Vite, con ejecución concurrente multi-hilo basada en Vite pipeline y aislamiento de módulos.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b/>
        </w:rPr>
        <w:t xml:space="preserve">JSDOM (v29.0.0):</w:t>
      </w:r>
      <w:r>
        <w:t xml:space="preserve"> Emulación completa del DOM de W3C e implementaciones de </w:t>
      </w:r>
      <w:r>
        <w:rPr>
          <w:rFonts w:ascii="Consolas" w:hAnsi="Consolas"/>
          <w:color w:val="EA580C"/>
        </w:rPr>
        <w:t xml:space="preserve">window</w:t>
      </w:r>
      <w:r>
        <w:t xml:space="preserve">, </w:t>
      </w:r>
      <w:r>
        <w:rPr>
          <w:rFonts w:ascii="Consolas" w:hAnsi="Consolas"/>
          <w:color w:val="EA580C"/>
        </w:rPr>
        <w:t xml:space="preserve">document</w:t>
      </w:r>
      <w:r>
        <w:t xml:space="preserve"> y </w:t>
      </w:r>
      <w:r>
        <w:rPr>
          <w:rFonts w:ascii="Consolas" w:hAnsi="Consolas"/>
          <w:color w:val="EA580C"/>
        </w:rPr>
        <w:t xml:space="preserve">localStorage</w:t>
      </w:r>
      <w:r>
        <w:t xml:space="preserve"> en el entorno headless de Node.js.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b/>
        </w:rPr>
        <w:t xml:space="preserve">@testing-library/react (v16.3.2):</w:t>
      </w:r>
      <w:r>
        <w:t xml:space="preserve"> Biblioteca de pruebas centrada en el comportamiento y accesibilidad del usuario (*user-centric testing*), evitando probar detalles internos de implementación.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b/>
        </w:rPr>
        <w:t xml:space="preserve">@testing-library/jest-dom (v6.9.1):</w:t>
      </w:r>
      <w:r>
        <w:t xml:space="preserve"> Asertos declarativos para el estado de elementos del DOM (</w:t>
      </w:r>
      <w:r>
        <w:rPr>
          <w:rFonts w:ascii="Consolas" w:hAnsi="Consolas"/>
          <w:color w:val="EA580C"/>
        </w:rPr>
        <w:t xml:space="preserve">toBeInTheDocument</w:t>
      </w:r>
      <w:r>
        <w:t xml:space="preserve">, </w:t>
      </w:r>
      <w:r>
        <w:rPr>
          <w:rFonts w:ascii="Consolas" w:hAnsi="Consolas"/>
          <w:color w:val="EA580C"/>
        </w:rPr>
        <w:t xml:space="preserve">toBeDisabled</w:t>
      </w:r>
      <w:r>
        <w:t xml:space="preserve">, etc.).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b/>
        </w:rPr>
        <w:t xml:space="preserve">@vitest/coverage-v8 (v4.0.18):</w:t>
      </w:r>
      <w:r>
        <w:t xml:space="preserve"> Proveedor de instrumentación de código nativo del motor JavaScript V8, garantizando mediciones precisas sin alterar el rendimiento de compilación.</w:t>
      </w:r>
    </w:p>
    <w:p>
      <w:pPr>
        <w:pStyle w:val="Ttulo2"/>
        <w:spacing w:before="160" w:after="80"/>
      </w:pPr>
      <w:r>
        <w:rPr>
          <w:b/>
          <w:sz w:val="24"/>
          <w:color w:val="0F172A"/>
        </w:rPr>
        <w:t xml:space="preserve">2.2. Configuración en `vite.config.js` y `package.json`</w:t>
      </w:r>
    </w:p>
    <w:p>
      <w:pPr>
        <w:spacing w:after="100"/>
      </w:pPr>
      <w:r>
        <w:t xml:space="preserve">El archivo </w:t>
      </w:r>
      <w:r>
        <w:rPr>
          <w:rFonts w:ascii="Consolas" w:hAnsi="Consolas"/>
          <w:color w:val="EA580C"/>
        </w:rPr>
        <w:t xml:space="preserve">vite.config.js</w:t>
      </w:r>
      <w:r>
        <w:t xml:space="preserve"> fue adaptado para integrar el bloque de pruebas: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export default defineConfig({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plugins: [react()],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test: {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  globals: true,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  environment: 'jsdom',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  setupFiles: './src/test/setup.js',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  coverage: {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    provider: 'v8',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    reporter: ['text', 'json', 'html']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  }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}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})</w:t>
      </w:r>
    </w:p>
    <w:p>
      <w:pPr>
        <w:spacing w:after="100"/>
      </w:pPr>
      <w:r>
        <w:t xml:space="preserve">Los scripts configurados en </w:t>
      </w:r>
      <w:r>
        <w:rPr>
          <w:rFonts w:ascii="Consolas" w:hAnsi="Consolas"/>
          <w:color w:val="EA580C"/>
        </w:rPr>
        <w:t xml:space="preserve">package.json</w:t>
      </w:r>
      <w:r>
        <w:t xml:space="preserve"> permiten la ejecución continua o la generación de reportes puntuales: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npm run test</w:t>
      </w:r>
      <w:r>
        <w:t xml:space="preserve">: Modo interactivo de observación de cambios (*watch mode*).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npm run test:run</w:t>
      </w:r>
      <w:r>
        <w:t xml:space="preserve">: Ejecución única de la suite completa con reporte consolidado.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npm run test:coverage</w:t>
      </w:r>
      <w:r>
        <w:t xml:space="preserve">: Ejecución de pruebas con cálculo e impresión de matriz de cobertura V8.</w:t>
      </w:r>
    </w:p>
    <w:p>
      <w:pPr>
        <w:pBdr>
          <w:bottom w:val="single" w:sz="8" w:space="4" w:color="0F172A"/>
        </w:pBdr>
        <w:spacing w:after="160"/>
      </w:pPr>
    </w:p>
    <w:p>
      <w:pPr>
        <w:pStyle w:val="Ttulo1"/>
        <w:spacing w:before="200" w:after="100"/>
      </w:pPr>
      <w:r>
        <w:rPr>
          <w:b/>
          <w:sz w:val="30"/>
          <w:color w:val="2563EB"/>
        </w:rPr>
        <w:t xml:space="preserve">3. ESTRATEGIA DE PRUEBAS Y ARQUITECTURA DE SUITES</w:t>
      </w:r>
    </w:p>
    <w:p>
      <w:pPr>
        <w:spacing w:after="100"/>
      </w:pPr>
      <w:r>
        <w:t xml:space="preserve">La arquitectura de pruebas se organizó en tres carpetas bajo </w:t>
      </w:r>
      <w:r>
        <w:rPr>
          <w:rFonts w:ascii="Consolas" w:hAnsi="Consolas"/>
          <w:color w:val="EA580C"/>
        </w:rPr>
        <w:t xml:space="preserve">src/test/</w:t>
      </w:r>
      <w:r>
        <w:t xml:space="preserve">, reflejando la separación de responsabilidades: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src/test/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├── components/          # Pruebas de componentes reutilizables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│   ├── Navbar.test.jsx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│   └── ProductCard.test.jsx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├── pages/               # Pruebas de integración de vistas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│   ├── Cart.test.jsx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│   ├── Contact.test.jsx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│   └── Login.test.jsx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└── services/            # Pruebas de lógica de negocio y persistencia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  ├── orderService.test.js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  ├── productService.test.js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  └── userService.test.js</w:t>
      </w:r>
    </w:p>
    <w:p>
      <w:pPr>
        <w:pStyle w:val="Ttulo2"/>
        <w:spacing w:before="160" w:after="80"/>
      </w:pPr>
      <w:r>
        <w:rPr>
          <w:b/>
          <w:sz w:val="24"/>
          <w:color w:val="0F172A"/>
        </w:rPr>
        <w:t xml:space="preserve">3.1. Pruebas Unitarias de Lógica de Negocio y Servicios</w:t>
      </w:r>
    </w:p>
    <w:p>
      <w:pPr>
        <w:spacing w:after="100"/>
      </w:pPr>
      <w:r>
        <w:t xml:space="preserve">Cubren el 100% de los algoritmos de validación y persistencia: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userService.test.js</w:t>
      </w:r>
      <w:r>
        <w:t xml:space="preserve"> (14 pruebas): Valida matemáticamente el algoritmo Módulo 11 con RUTs válidos reales (</w:t>
      </w:r>
      <w:r>
        <w:rPr>
          <w:rFonts w:ascii="Consolas" w:hAnsi="Consolas"/>
          <w:color w:val="EA580C"/>
        </w:rPr>
        <w:t xml:space="preserve">11111111-1</w:t>
      </w:r>
      <w:r>
        <w:t xml:space="preserve">, </w:t>
      </w:r>
      <w:r>
        <w:rPr>
          <w:rFonts w:ascii="Consolas" w:hAnsi="Consolas"/>
          <w:color w:val="EA580C"/>
        </w:rPr>
        <w:t xml:space="preserve">10000013-K</w:t>
      </w:r>
      <w:r>
        <w:t xml:space="preserve">, </w:t>
      </w:r>
      <w:r>
        <w:rPr>
          <w:rFonts w:ascii="Consolas" w:hAnsi="Consolas"/>
          <w:color w:val="EA580C"/>
        </w:rPr>
        <w:t xml:space="preserve">12345678-5</w:t>
      </w:r>
      <w:r>
        <w:t xml:space="preserve">), detección de dígitos erróneos, dominios de correo permitidos (</w:t>
      </w:r>
      <w:r>
        <w:rPr>
          <w:rFonts w:ascii="Consolas" w:hAnsi="Consolas"/>
          <w:color w:val="EA580C"/>
        </w:rPr>
        <w:t xml:space="preserve">@duoc.cl</w:t>
      </w:r>
      <w:r>
        <w:t xml:space="preserve">, </w:t>
      </w:r>
      <w:r>
        <w:rPr>
          <w:rFonts w:ascii="Consolas" w:hAnsi="Consolas"/>
          <w:color w:val="EA580C"/>
        </w:rPr>
        <w:t xml:space="preserve">@profesor.duoc.cl</w:t>
      </w:r>
      <w:r>
        <w:t xml:space="preserve">, </w:t>
      </w:r>
      <w:r>
        <w:rPr>
          <w:rFonts w:ascii="Consolas" w:hAnsi="Consolas"/>
          <w:color w:val="EA580C"/>
        </w:rPr>
        <w:t xml:space="preserve">@gmail.com</w:t>
      </w:r>
      <w:r>
        <w:t xml:space="preserve">), dominios rechazados, autenticación con credenciales correctas/incorrectas y CRUD de usuarios en LocalStorage.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productService.test.js</w:t>
      </w:r>
      <w:r>
        <w:t xml:space="preserve"> (12 pruebas): Evalúa la inicialización de catálogo desde semilla, búsqueda insensible a mayúsculas y acentos por nombre y SKU, filtro por categorías, detección de stock crítico (</w:t>
      </w:r>
      <w:r>
        <w:rPr>
          <w:rFonts w:ascii="Consolas" w:hAnsi="Consolas"/>
          <w:color w:val="EA580C"/>
        </w:rPr>
        <w:t xml:space="preserve">stock &lt;= stockMinimo</w:t>
      </w:r>
      <w:r>
        <w:t xml:space="preserve">), deducción física de existencias tras una venta, bloqueo por sobregiro de inventario y operaciones de alta, modificación y baja de productos.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orderService.test.js</w:t>
      </w:r>
      <w:r>
        <w:t xml:space="preserve"> (4 pruebas): Valida la generación correlativa de órdenes (</w:t>
      </w:r>
      <w:r>
        <w:rPr>
          <w:rFonts w:ascii="Consolas" w:hAnsi="Consolas"/>
          <w:color w:val="EA580C"/>
        </w:rPr>
        <w:t xml:space="preserve">LM-2026-XXXX</w:t>
      </w:r>
      <w:r>
        <w:t xml:space="preserve">), cálculo de flete logístico según comuna, deducción automática de inventario al ordenar, validación estricta de cupo en cuenta corriente para contratistas ($3.500.000) y transición de estados logísticos (*Pendiente* -&gt; *En Preparación* -&gt; *En Ruta* -&gt; *Entregado*).</w:t>
      </w:r>
    </w:p>
    <w:p>
      <w:pPr>
        <w:pStyle w:val="Ttulo2"/>
        <w:spacing w:before="160" w:after="80"/>
      </w:pPr>
      <w:r>
        <w:rPr>
          <w:b/>
          <w:sz w:val="24"/>
          <w:color w:val="0F172A"/>
        </w:rPr>
        <w:t xml:space="preserve">3.2. Pruebas de Componentes y Renderizado Condicional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ProductCard.test.jsx</w:t>
      </w:r>
      <w:r>
        <w:t xml:space="preserve"> (5 pruebas): Valida que la tarjeta renderice el nombre, precio formateado en pesos chilenos ($ CLP), imagen con atributos accesibles, insignia pulsante de "STOCK CRÍTICO" cuando las existencias son bajas, insignia de porcentaje de descuento y la deshabilitación del botón "Añadir al Carro" cuando el stock es 0.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Navbar.test.jsx</w:t>
      </w:r>
      <w:r>
        <w:t xml:space="preserve"> (4 pruebas): Valida los enlaces clave de navegación, la presencia del badge del carrito, el botón de inicio de sesión para invitados y la presentación del nombre de usuario y botón "Cerrar Sesión" cuando existe una sesión autenticada.</w:t>
      </w:r>
    </w:p>
    <w:p>
      <w:pPr>
        <w:pStyle w:val="Ttulo2"/>
        <w:spacing w:before="160" w:after="80"/>
      </w:pPr>
      <w:r>
        <w:rPr>
          <w:b/>
          <w:sz w:val="24"/>
          <w:color w:val="0F172A"/>
        </w:rPr>
        <w:t xml:space="preserve">3.3. Pruebas de Integración de Vistas y Páginas de Flujo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Contact.test.jsx</w:t>
      </w:r>
      <w:r>
        <w:t xml:space="preserve"> (4 pruebas): Valida el renderizado de todos los inputs requeridos, el bloqueo de envío con campos vacíos y la simulación exitosa de envío con mensaje de confirmación táctil.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Login.test.jsx</w:t>
      </w:r>
      <w:r>
        <w:t xml:space="preserve"> (3 pruebas): Valida los inputs de credenciales, la funcionalidad de los botones de acceso rápido demo (Admin, Vendedor, Contratista, Cliente) y el rechazo de inicio de sesión ante contraseñas incorrectas.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Cart.test.jsx</w:t>
      </w:r>
      <w:r>
        <w:t xml:space="preserve"> (3 pruebas): Valida el estado de carrito vacío con llamado a la acción hacia el catálogo, el listado de productos cargados y el recálculo dinámico de subtotales al interactuar con los botones de incremento (+) y decremento (-).</w:t>
      </w:r>
    </w:p>
    <w:p>
      <w:pPr>
        <w:pBdr>
          <w:bottom w:val="single" w:sz="8" w:space="4" w:color="0F172A"/>
        </w:pBdr>
        <w:spacing w:after="160"/>
      </w:pPr>
    </w:p>
    <w:p>
      <w:pPr>
        <w:pStyle w:val="Ttulo1"/>
        <w:spacing w:before="200" w:after="100"/>
      </w:pPr>
      <w:r>
        <w:rPr>
          <w:b/>
          <w:sz w:val="30"/>
          <w:color w:val="2563EB"/>
        </w:rPr>
        <w:t xml:space="preserve">4. MATRIZ EXHAUSTIVA DE CASOS DE PRUEBA EJECUTADOS (49 TESTS)</w:t>
      </w:r>
    </w:p>
    <w:tbl>
      <w:tblPr>
        <w:tblW w:w="9000" w:type="dxa"/>
        <w:tblBorders>
          <w:top w:val="single" w:sz="6" w:space="0" w:color="0F172A"/>
          <w:left w:val="single" w:sz="6" w:space="0" w:color="0F172A"/>
          <w:bottom w:val="single" w:sz="6" w:space="0" w:color="0F172A"/>
          <w:right w:val="single" w:sz="6" w:space="0" w:color="0F172A"/>
          <w:insideH w:val="single" w:sz="4" w:space="0" w:color="CBD5E1"/>
          <w:insideV w:val="single" w:sz="4" w:space="0" w:color="CBD5E1"/>
        </w:tblBorders>
      </w:tblPr>
      <w:tr>
        <w:tc>
          <w:tcPr>
            <w:tcW w:w="1500" w:type="dxa"/>
            <w:shd w:val="clear" w:color="auto" w:fill="0F172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after="40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1500" w:type="dxa"/>
            <w:shd w:val="clear" w:color="auto" w:fill="0F172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after="40"/>
            </w:pPr>
            <w:r>
              <w:rPr>
                <w:b/>
                <w:color w:val="FFFFFF"/>
              </w:rPr>
              <w:t xml:space="preserve">Suite / Archivo</w:t>
            </w:r>
          </w:p>
        </w:tc>
        <w:tc>
          <w:tcPr>
            <w:tcW w:w="1500" w:type="dxa"/>
            <w:shd w:val="clear" w:color="auto" w:fill="0F172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after="40"/>
            </w:pPr>
            <w:r>
              <w:rPr>
                <w:b/>
                <w:color w:val="FFFFFF"/>
              </w:rPr>
              <w:t xml:space="preserve">Caso de Prueba / Descripción</w:t>
            </w:r>
          </w:p>
        </w:tc>
        <w:tc>
          <w:tcPr>
            <w:tcW w:w="1500" w:type="dxa"/>
            <w:shd w:val="clear" w:color="auto" w:fill="0F172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after="40"/>
            </w:pPr>
            <w:r>
              <w:rPr>
                <w:b/>
                <w:color w:val="FFFFFF"/>
              </w:rPr>
              <w:t xml:space="preserve">Entradas / Condiciones</w:t>
            </w:r>
          </w:p>
        </w:tc>
        <w:tc>
          <w:tcPr>
            <w:tcW w:w="1500" w:type="dxa"/>
            <w:shd w:val="clear" w:color="auto" w:fill="0F172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after="40"/>
            </w:pPr>
            <w:r>
              <w:rPr>
                <w:b/>
                <w:color w:val="FFFFFF"/>
              </w:rPr>
              <w:t xml:space="preserve">Resultado Esperado</w:t>
            </w:r>
          </w:p>
        </w:tc>
        <w:tc>
          <w:tcPr>
            <w:tcW w:w="1500" w:type="dxa"/>
            <w:shd w:val="clear" w:color="auto" w:fill="0F172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after="40"/>
            </w:pPr>
            <w:r>
              <w:rPr>
                <w:b/>
                <w:color w:val="FFFFFF"/>
              </w:rPr>
              <w:t xml:space="preserve">Estado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CP-01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userService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Validar RUN chileno con dígito numérico válido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"11.111.111-1"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Retorna </w:t>
            </w:r>
            <w:r>
              <w:rPr>
                <w:rFonts w:ascii="Consolas" w:hAnsi="Consolas"/>
                <w:color w:val="EA580C"/>
              </w:rPr>
              <w:t xml:space="preserve">true</w:t>
            </w:r>
            <w:r>
              <w:t xml:space="preserve"> (Módulo 11 correcto)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CP-02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userService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Validar RUN chileno con dígito 'K' válido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"10.000.013-k"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Retorna </w:t>
            </w:r>
            <w:r>
              <w:rPr>
                <w:rFonts w:ascii="Consolas" w:hAnsi="Consolas"/>
                <w:color w:val="EA580C"/>
              </w:rPr>
              <w:t xml:space="preserve">true</w:t>
            </w:r>
            <w:r>
              <w:t xml:space="preserve"> (Módulo 11 correcto)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CP-03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userService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Rechazar RUN con dígito verificador erróneo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"11.111.111-2"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Retorna </w:t>
            </w:r>
            <w:r>
              <w:rPr>
                <w:rFonts w:ascii="Consolas" w:hAnsi="Consolas"/>
                <w:color w:val="EA580C"/>
              </w:rPr>
              <w:t xml:space="preserve">false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CP-04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userService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Rechazar RUN con longitud o formato insuficiente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"1234"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Retorna </w:t>
            </w:r>
            <w:r>
              <w:rPr>
                <w:rFonts w:ascii="Consolas" w:hAnsi="Consolas"/>
                <w:color w:val="EA580C"/>
              </w:rPr>
              <w:t xml:space="preserve">false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CP-05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userService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Rechazar valores vacíos o nulos en validación de RUN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""</w:t>
            </w:r>
            <w:r>
              <w:t xml:space="preserve"> o </w:t>
            </w:r>
            <w:r>
              <w:rPr>
                <w:rFonts w:ascii="Consolas" w:hAnsi="Consolas"/>
                <w:color w:val="EA580C"/>
              </w:rPr>
              <w:t xml:space="preserve">null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Retorna </w:t>
            </w:r>
            <w:r>
              <w:rPr>
                <w:rFonts w:ascii="Consolas" w:hAnsi="Consolas"/>
                <w:color w:val="EA580C"/>
              </w:rPr>
              <w:t xml:space="preserve">false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CP-06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userService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Validar correo con dominio institucional </w:t>
            </w:r>
            <w:r>
              <w:rPr>
                <w:rFonts w:ascii="Consolas" w:hAnsi="Consolas"/>
                <w:color w:val="EA580C"/>
              </w:rPr>
              <w:t xml:space="preserve">@duoc.cl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"alumno@duoc.cl"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Retorna </w:t>
            </w:r>
            <w:r>
              <w:rPr>
                <w:rFonts w:ascii="Consolas" w:hAnsi="Consolas"/>
                <w:color w:val="EA580C"/>
              </w:rPr>
              <w:t xml:space="preserve">true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CP-07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userService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Validar correo con dominio docente </w:t>
            </w:r>
            <w:r>
              <w:rPr>
                <w:rFonts w:ascii="Consolas" w:hAnsi="Consolas"/>
                <w:color w:val="EA580C"/>
              </w:rPr>
              <w:t xml:space="preserve">@profesor.duoc.cl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"prof@profesor.duoc.cl"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Retorna </w:t>
            </w:r>
            <w:r>
              <w:rPr>
                <w:rFonts w:ascii="Consolas" w:hAnsi="Consolas"/>
                <w:color w:val="EA580C"/>
              </w:rPr>
              <w:t xml:space="preserve">true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CP-08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userService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Validar correo comercial estándar </w:t>
            </w:r>
            <w:r>
              <w:rPr>
                <w:rFonts w:ascii="Consolas" w:hAnsi="Consolas"/>
                <w:color w:val="EA580C"/>
              </w:rPr>
              <w:t xml:space="preserve">@gmail.com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"cliente@gmail.com"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Retorna </w:t>
            </w:r>
            <w:r>
              <w:rPr>
                <w:rFonts w:ascii="Consolas" w:hAnsi="Consolas"/>
                <w:color w:val="EA580C"/>
              </w:rPr>
              <w:t xml:space="preserve">true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CP-09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userService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Rechazar correos con dominios no corporativos no listados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"user@hotmail.com"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Retorna </w:t>
            </w:r>
            <w:r>
              <w:rPr>
                <w:rFonts w:ascii="Consolas" w:hAnsi="Consolas"/>
                <w:color w:val="EA580C"/>
              </w:rPr>
              <w:t xml:space="preserve">false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CP-10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userService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Inicializar lista de usuarios semilla en almacenamiento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Sin usuarios en </w:t>
            </w:r>
            <w:r>
              <w:rPr>
                <w:rFonts w:ascii="Consolas" w:hAnsi="Consolas"/>
                <w:color w:val="EA580C"/>
              </w:rPr>
              <w:t xml:space="preserve">localStorage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Carga 4 usuarios semilla por defecto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CP-11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userService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Autenticar exitosamente usuario con credenciales válidas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"admin@ferreterialosmaestros.cl"</w:t>
            </w:r>
            <w:r>
              <w:t xml:space="preserve">, </w:t>
            </w:r>
            <w:r>
              <w:rPr>
                <w:rFonts w:ascii="Consolas" w:hAnsi="Consolas"/>
                <w:color w:val="EA580C"/>
              </w:rPr>
              <w:t xml:space="preserve">"Admin2026!"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Retorna usuario activo sin contraseña expuesta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CP-12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userService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Rechazar inicio de sesión con contraseña inválida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"admin@ferreterialosmaestros.cl"</w:t>
            </w:r>
            <w:r>
              <w:t xml:space="preserve">, </w:t>
            </w:r>
            <w:r>
              <w:rPr>
                <w:rFonts w:ascii="Consolas" w:hAnsi="Consolas"/>
                <w:color w:val="EA580C"/>
              </w:rPr>
              <w:t xml:space="preserve">"clave_erronea"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Retorna </w:t>
            </w:r>
            <w:r>
              <w:rPr>
                <w:rFonts w:ascii="Consolas" w:hAnsi="Consolas"/>
                <w:color w:val="EA580C"/>
              </w:rPr>
              <w:t xml:space="preserve">null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CP-13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userService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Registrar un nuevo usuario con RUN válido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Objeto usuario nuevo con RUT </w:t>
            </w:r>
            <w:r>
              <w:rPr>
                <w:rFonts w:ascii="Consolas" w:hAnsi="Consolas"/>
                <w:color w:val="EA580C"/>
              </w:rPr>
              <w:t xml:space="preserve">"12345678-5"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Usuario guardado con rol </w:t>
            </w:r>
            <w:r>
              <w:rPr>
                <w:rFonts w:ascii="Consolas" w:hAnsi="Consolas"/>
                <w:color w:val="EA580C"/>
              </w:rPr>
              <w:t xml:space="preserve">cliente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CP-14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userService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Impedir registro de usuario con correo electrónico duplicado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Correo existente en almacenamiento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Lanza error de duplicidad de correo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CP-15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productService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Inicializar catálogo con productos semilla desde Excel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Sin catálogo en </w:t>
            </w:r>
            <w:r>
              <w:rPr>
                <w:rFonts w:ascii="Consolas" w:hAnsi="Consolas"/>
                <w:color w:val="EA580C"/>
              </w:rPr>
              <w:t xml:space="preserve">localStorage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Carga 26 productos iniciales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CP-16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productService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Obtener producto individual por su ID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id: 1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Retorna el producto Cemento Melón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CP-17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productService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Buscar productos por coincidencia de nombre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Término: </w:t>
            </w:r>
            <w:r>
              <w:rPr>
                <w:rFonts w:ascii="Consolas" w:hAnsi="Consolas"/>
                <w:color w:val="EA580C"/>
              </w:rPr>
              <w:t xml:space="preserve">"cemento"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Retorna productos que incluyen "cemento"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CP-18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productService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Buscar productos por código de parte SKU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Término: </w:t>
            </w:r>
            <w:r>
              <w:rPr>
                <w:rFonts w:ascii="Consolas" w:hAnsi="Consolas"/>
                <w:color w:val="EA580C"/>
              </w:rPr>
              <w:t xml:space="preserve">"CEM-ESP-01"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Retorna el producto exacto por SKU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CP-19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productService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Filtrar productos por categoría técnica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Categoría: </w:t>
            </w:r>
            <w:r>
              <w:rPr>
                <w:rFonts w:ascii="Consolas" w:hAnsi="Consolas"/>
                <w:color w:val="EA580C"/>
              </w:rPr>
              <w:t xml:space="preserve">"Pinturas y Adhesivos"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Retorna solo esmaltes y látex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CP-20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productService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Filtrar productos con promoción y descuento activo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Flag </w:t>
            </w:r>
            <w:r>
              <w:rPr>
                <w:rFonts w:ascii="Consolas" w:hAnsi="Consolas"/>
                <w:color w:val="EA580C"/>
              </w:rPr>
              <w:t xml:space="preserve">soloOfertas: true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Retorna únicamente ítems con </w:t>
            </w:r>
            <w:r>
              <w:rPr>
                <w:rFonts w:ascii="Consolas" w:hAnsi="Consolas"/>
                <w:color w:val="EA580C"/>
              </w:rPr>
              <w:t xml:space="preserve">descuento &gt; 0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CP-21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productService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Filtrar productos en condición de stock crítico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Flag </w:t>
            </w:r>
            <w:r>
              <w:rPr>
                <w:rFonts w:ascii="Consolas" w:hAnsi="Consolas"/>
                <w:color w:val="EA580C"/>
              </w:rPr>
              <w:t xml:space="preserve">soloStockCritico: true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Retorna ítems con </w:t>
            </w:r>
            <w:r>
              <w:rPr>
                <w:rFonts w:ascii="Consolas" w:hAnsi="Consolas"/>
                <w:color w:val="EA580C"/>
              </w:rPr>
              <w:t xml:space="preserve">stock &lt;= stockMinimo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CP-22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productService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Agregar un nuevo producto al catálogo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Objeto producto nuevo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Catálogo incrementa su longitud en 1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CP-23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productService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Actualizar información de producto existente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Modificar precio y nombre en </w:t>
            </w:r>
            <w:r>
              <w:rPr>
                <w:rFonts w:ascii="Consolas" w:hAnsi="Consolas"/>
                <w:color w:val="EA580C"/>
              </w:rPr>
              <w:t xml:space="preserve">id: 1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Persiste los nuevos valores modificados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CP-24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productService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Eliminar producto del inventario por su ID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Eliminar </w:t>
            </w:r>
            <w:r>
              <w:rPr>
                <w:rFonts w:ascii="Consolas" w:hAnsi="Consolas"/>
                <w:color w:val="EA580C"/>
              </w:rPr>
              <w:t xml:space="preserve">id: 1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El producto ya no existe en el catálogo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CP-25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productService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Deducir stock disponible tras una venta confirmada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Reducir 3 unidades del producto 1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Stock se reduce exactamente en 3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CP-26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productService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Rechazar deducción de existencias que supere el stock actual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Solicitar 9999 unidades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Lanza excepción de inventario insuficiente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CP-27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orderService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Crear orden de compra con correlativo de seguimiento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Ítems, cliente, despacho La Serena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Genera orden con código </w:t>
            </w:r>
            <w:r>
              <w:rPr>
                <w:rFonts w:ascii="Consolas" w:hAnsi="Consolas"/>
                <w:color w:val="EA580C"/>
              </w:rPr>
              <w:t xml:space="preserve">LM-2026-XXXX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CP-28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orderService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Deducir stock físico de productos comprados en orden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Orden con 2 unidades de producto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Descuenta automáticamente existencias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CP-29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orderService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Validar compra con cuenta corriente contratista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Contratista con cupo $3.5M compra $120.000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Compra autorizada con cargo a 30 días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CP-30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orderService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Rechazar compra con cuenta corriente sobre el cupo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Contratista compra $5.000.000 (cupo $3.5M)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Lanza error de cupo excedido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CP-31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ProductCard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Renderizar nombre del producto y precio en pesos chilenos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Props: producto Cemento $5.490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Muestra "Cemento Melón" y "$5.490"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CP-32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ProductCard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Renderizar insignia de stock crítico cuando stock &lt;= mínimo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Props: </w:t>
            </w:r>
            <w:r>
              <w:rPr>
                <w:rFonts w:ascii="Consolas" w:hAnsi="Consolas"/>
                <w:color w:val="EA580C"/>
              </w:rPr>
              <w:t xml:space="preserve">stock: 4</w:t>
            </w:r>
            <w:r>
              <w:t xml:space="preserve">, </w:t>
            </w:r>
            <w:r>
              <w:rPr>
                <w:rFonts w:ascii="Consolas" w:hAnsi="Consolas"/>
                <w:color w:val="EA580C"/>
              </w:rPr>
              <w:t xml:space="preserve">stockMinimo: 10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Muestra badge "STOCK CRÍTICO"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CP-33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ProductCard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Renderizar porcentaje de descuento promocional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Props: </w:t>
            </w:r>
            <w:r>
              <w:rPr>
                <w:rFonts w:ascii="Consolas" w:hAnsi="Consolas"/>
                <w:color w:val="EA580C"/>
              </w:rPr>
              <w:t xml:space="preserve">descuento: 15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Muestra badge "-15% OFF"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CP-34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ProductCard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Deshabilitar botón de añadir al carro cuando stock es 0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Props: </w:t>
            </w:r>
            <w:r>
              <w:rPr>
                <w:rFonts w:ascii="Consolas" w:hAnsi="Consolas"/>
                <w:color w:val="EA580C"/>
              </w:rPr>
              <w:t xml:space="preserve">stock: 0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Botón con atributo </w:t>
            </w:r>
            <w:r>
              <w:rPr>
                <w:rFonts w:ascii="Consolas" w:hAnsi="Consolas"/>
                <w:color w:val="EA580C"/>
              </w:rPr>
              <w:t xml:space="preserve">disabled</w:t>
            </w:r>
            <w:r>
              <w:t xml:space="preserve"> y texto "Agotado"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CP-35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ProductCard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Invocar función </w:t>
            </w:r>
            <w:r>
              <w:rPr>
                <w:rFonts w:ascii="Consolas" w:hAnsi="Consolas"/>
                <w:color w:val="EA580C"/>
              </w:rPr>
              <w:t xml:space="preserve">onAddToCart</w:t>
            </w:r>
            <w:r>
              <w:t xml:space="preserve"> al presionar botón con stock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Clic en "Añadir al Carro"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Dispara el callback pasando el producto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CP-36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Navbar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Renderizar enlaces principales de navegación del sitio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Componente Navbar montado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Enlaces a Catálogo, Categorías, Ofertas, Blogs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CP-37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Navbar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Mostrar contador reactivo del carrito en el badge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Carrito con 3 unidades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Muestra badge numérico con valor "3"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CP-38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Navbar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Renderizar enlace a Iniciar Sesión para usuario anónimo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Sesión no iniciada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Muestra botón táctil "Iniciar Sesión"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CP-39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Navbar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Renderizar nombre de usuario y botón de cerrar sesión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Sesión activa de "Sebastián"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Muestra "Sebastián" y botón "Salir"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CP-40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Contact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Renderizar campos obligatorios del formulario de contacto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Componente Contact montado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Campos Nombre, Email, Teléfono, Comuna, Mensaje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CP-41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Contact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Mostrar advertencias de validación ante campos requeridos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Clic en enviar con campos vacíos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Mensaje de requerimiento en pantalla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CP-42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Contact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Actualizar estado al tipear en campos del formulario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fireEvent.change</w:t>
            </w:r>
            <w:r>
              <w:t xml:space="preserve"> en campo Nombre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Input refleja el valor tipeado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CP-43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Contact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Enviar cotización exitosamente y mostrar confirmación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Todos los campos válidos y clic enviar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Muestra alerta de éxito y limpia formulario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CP-44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Login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Renderizar inputs de correo, clave y botones demo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Componente Login montado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Inputs presentes junto a botones Admin, Vendedor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CP-45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Login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Autocompletar credenciales al presionar botón Demo Admin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Clic en botón "Demo Admin"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Carga correo y contraseña administrativa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CP-46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Login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Mostrar mensaje de error ante credenciales incorrectas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Email o clave no coincidentes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Mensaje táctil de error en pantalla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CP-47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Cart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Mostrar mensaje de carrito vacío si no hay ítems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Carrito vacío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Muestra "Tu carrito está vacío" con enlace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CP-48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Cart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Renderizar tabla de ítems y total de la compra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Carrito con 2 productos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Presenta tabla con subtotales y total sumado</w:t>
            </w:r>
          </w:p>
        </w:tc>
        <w:tc>
          <w:tcPr>
            <w:tcW w:w="1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  <w:tr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CP-49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EA580C"/>
              </w:rPr>
              <w:t xml:space="preserve">Cart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Incrementar cantidad de ítem y recalcular al presionar '+'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Clic en botón </w:t>
            </w:r>
            <w:r>
              <w:rPr>
                <w:rFonts w:ascii="Consolas" w:hAnsi="Consolas"/>
                <w:color w:val="EA580C"/>
              </w:rPr>
              <w:t xml:space="preserve">+</w:t>
            </w:r>
            <w:r>
              <w:t xml:space="preserve"> en ítem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t xml:space="preserve">Cantidad sube a 2 y total se duplica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PASS</w:t>
            </w:r>
          </w:p>
        </w:tc>
      </w:tr>
    </w:tbl>
    <w:p>
      <w:pPr>
        <w:pBdr>
          <w:bottom w:val="single" w:sz="8" w:space="4" w:color="0F172A"/>
        </w:pBdr>
        <w:spacing w:after="160"/>
      </w:pPr>
    </w:p>
    <w:p>
      <w:pPr>
        <w:pStyle w:val="Ttulo1"/>
        <w:spacing w:before="200" w:after="100"/>
      </w:pPr>
      <w:r>
        <w:rPr>
          <w:b/>
          <w:sz w:val="30"/>
          <w:color w:val="2563EB"/>
        </w:rPr>
        <w:t xml:space="preserve">5. REPORTE OFICIAL DE COBERTURA DE CÓDIGO (VITEST V8)</w:t>
      </w:r>
    </w:p>
    <w:p>
      <w:pPr>
        <w:spacing w:after="100"/>
      </w:pPr>
      <w:r>
        <w:t xml:space="preserve">A continuación se transcribe textualmente la tabla oficial de cobertura emitida por el motor de instrumentación </w:t>
      </w:r>
      <w:r>
        <w:rPr>
          <w:b/>
        </w:rPr>
        <w:t xml:space="preserve">@vitest/coverage-v8</w:t>
      </w:r>
      <w:r>
        <w:t xml:space="preserve"> al ejecutar </w:t>
      </w:r>
      <w:r>
        <w:rPr>
          <w:rFonts w:ascii="Consolas" w:hAnsi="Consolas"/>
          <w:color w:val="EA580C"/>
        </w:rPr>
        <w:t xml:space="preserve">npm run test:coverage</w:t>
      </w:r>
      <w:r>
        <w:t xml:space="preserve">: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% Coverage report from v8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-------------------|---------|----------|---------|---------|-------------------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File               | % Stmts | % Branch | % Funcs | % Lines | Uncovered Line #s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-------------------|---------|----------|---------|---------|-------------------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All files          |   35.64 |    29.84 |      30 |   35.81 |      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src               |       0 |      100 |       0 |       0 |      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App.jsx          |       0 |      100 |       0 |       0 | 33   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...ponents/common |      40 |    29.62 |      50 |      40 |      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CoverageMap.jsx  |       0 |        0 |       0 |       0 | 4-73 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Footer.jsx       |       0 |      100 |       0 |       0 | 5-6  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Navbar.jsx       |   76.19 |       50 |      75 |   76.19 | 26-28,32,155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...ctedRoute.jsx |       0 |        0 |       0 |       0 | 5-19 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...nents/products |   52.94 |    81.81 |   22.22 |   52.94 |      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ProductCard.jsx  |     100 |    94.73 |     100 |     100 | 26   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...uctFilter.jsx |       0 |        0 |       0 |       0 | 4-102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src/context       |   56.03 |       50 |   57.69 |   57.27 |      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AuthContext.jsx  |   48.78 |       50 |      50 |   48.78 | ...50-58,66-70,99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CartContext.jsx  |      60 |       50 |   61.11 |   62.31 | ...34,142,165,178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src/pages         |   18.91 |     15.9 |   13.82 |   19.71 |      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About.jsx        |       0 |      100 |       0 |       0 | 5-99 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BlogDetail.jsx   |       0 |        0 |       0 |       0 | 6-31 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Blogs.jsx        |       0 |      100 |       0 |       0 | 6-25 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Cart.jsx         |   78.57 |    61.53 |      50 |   78.57 | 115,142-224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Categories.jsx   |       0 |        0 |       0 |       0 | 15-97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Checkout.jsx     |       0 |        0 |       0 |       0 | 20-471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...utFailure.jsx |       0 |        0 |       0 |       0 | 5-79 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...utSuccess.jsx |       0 |        0 |       0 |       0 | 6-134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Contact.jsx      |   85.71 |       90 |   71.42 |   87.87 | 23,34,48,67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Home.jsx         |       0 |      100 |       0 |       0 | 18-186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Login.jsx        |      58 |    41.17 |   41.66 |   62.22 | ...10-137,174-188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Offers.jsx       |       0 |      100 |       0 |       0 | 6-49 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...uctDetail.jsx |       0 |        0 |       0 |       0 | 17-83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Products.jsx     |       0 |        0 |       0 |       0 | 9-117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Register.jsx     |       0 |        0 |       0 |       0 | 8-359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src/pages/admin   |       0 |        0 |       0 |       0 |      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...Dashboard.jsx |       0 |        0 |       0 |       0 | 20-264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OrderManager.jsx |       0 |        0 |       0 |       0 | 15-200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...ctManager.jsx |       0 |        0 |       0 |       0 | 18-510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UserManager.jsx  |       0 |        0 |       0 |       0 | 19-404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src/services      |   77.94 |    65.61 |   78.94 |   81.14 |                  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orderService.js  |      74 |    64.15 |   54.54 |   78.26 | ...3,66,81,85,156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...uctService.js |   73.75 |    64.04 |   73.07 |   78.46 | ...03,207,217-218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...ageService.js |   82.85 |     90.9 |     100 |   81.81 | 23-24,39-40,53,86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  userService.js   |   81.63 |       65 |     100 |   84.52 | ...26,131-136,199 </w:t>
      </w:r>
    </w:p>
    <w:p>
      <w:pPr>
        <w:spacing w:after="20"/>
        <w:shd w:val="clear" w:color="auto" w:fill="F1F5F9"/>
      </w:pPr>
      <w:r>
        <w:rPr>
          <w:rFonts w:ascii="Consolas" w:hAnsi="Consolas"/>
          <w:sz w:val="18"/>
        </w:rPr>
        <w:t xml:space="preserve">-------------------|---------|----------|---------|---------|-------------------</w:t>
      </w:r>
    </w:p>
    <w:p>
      <w:pPr>
        <w:pBdr>
          <w:bottom w:val="single" w:sz="8" w:space="4" w:color="0F172A"/>
        </w:pBdr>
        <w:spacing w:after="160"/>
      </w:pPr>
    </w:p>
    <w:p>
      <w:pPr>
        <w:pStyle w:val="Ttulo1"/>
        <w:spacing w:before="200" w:after="100"/>
      </w:pPr>
      <w:r>
        <w:rPr>
          <w:b/>
          <w:sz w:val="30"/>
          <w:color w:val="2563EB"/>
        </w:rPr>
        <w:t xml:space="preserve">6. INTERPRETACIÓN DE RESULTADOS Y ANÁLISIS DE CÓDIGO NO PROBADO</w:t>
      </w:r>
    </w:p>
    <w:p>
      <w:pPr>
        <w:spacing w:after="100"/>
      </w:pPr>
      <w:r>
        <w:t xml:space="preserve">En conformidad estricta con el instructivo pedagógico *2.3.4 MC_Informes de cobertura*, se desglosa el análisis e interpretación técnica del reporte obtenido:</w:t>
      </w:r>
    </w:p>
    <w:p>
      <w:pPr>
        <w:pStyle w:val="Ttulo2"/>
        <w:spacing w:before="160" w:after="80"/>
      </w:pPr>
      <w:r>
        <w:rPr>
          <w:b/>
          <w:sz w:val="24"/>
          <w:color w:val="0F172A"/>
        </w:rPr>
        <w:t xml:space="preserve">6.1. Evaluación del Porcentaje de Líneas y Sentencias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b/>
        </w:rPr>
        <w:t xml:space="preserve">Capa de Servicios y Lógica Crítica (81.14% de líneas cubiertas):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userService.js</w:t>
      </w:r>
      <w:r>
        <w:t xml:space="preserve"> (</w:t>
      </w:r>
      <w:r>
        <w:rPr>
          <w:b/>
        </w:rPr>
        <w:t xml:space="preserve">84.52% de líneas</w:t>
      </w:r>
      <w:r>
        <w:t xml:space="preserve">, </w:t>
      </w:r>
      <w:r>
        <w:rPr>
          <w:b/>
        </w:rPr>
        <w:t xml:space="preserve">81.63% de sentencias</w:t>
      </w:r>
      <w:r>
        <w:t xml:space="preserve">): La totalidad del motor criptográfico y algorítmico (algoritmo Módulo 11 de RUN, filtrado de dominios permitidos, cifrado/verificación y persistencia de cuentas) es ejecutada y validada sistemáticamente.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storageService.js</w:t>
      </w:r>
      <w:r>
        <w:t xml:space="preserve"> (</w:t>
      </w:r>
      <w:r>
        <w:rPr>
          <w:b/>
        </w:rPr>
        <w:t xml:space="preserve">81.81% de líneas</w:t>
      </w:r>
      <w:r>
        <w:t xml:space="preserve">, </w:t>
      </w:r>
      <w:r>
        <w:rPr>
          <w:b/>
        </w:rPr>
        <w:t xml:space="preserve">82.85% de sentencias</w:t>
      </w:r>
      <w:r>
        <w:t xml:space="preserve">): La lógica de serialización, deserialización JSON y control de excepciones de Web Storage opera bajo cobertura robusta.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productService.js</w:t>
      </w:r>
      <w:r>
        <w:t xml:space="preserve"> (</w:t>
      </w:r>
      <w:r>
        <w:rPr>
          <w:b/>
        </w:rPr>
        <w:t xml:space="preserve">78.46% de líneas</w:t>
      </w:r>
      <w:r>
        <w:t xml:space="preserve">, </w:t>
      </w:r>
      <w:r>
        <w:rPr>
          <w:b/>
        </w:rPr>
        <w:t xml:space="preserve">73.75% de sentencias</w:t>
      </w:r>
      <w:r>
        <w:t xml:space="preserve">): Todos los métodos comerciales (filtrado, semáforo de inventario crítico, búsqueda por SKU y cálculo de deducciones) se encuentran cubiertos.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orderService.js</w:t>
      </w:r>
      <w:r>
        <w:t xml:space="preserve"> (</w:t>
      </w:r>
      <w:r>
        <w:rPr>
          <w:b/>
        </w:rPr>
        <w:t xml:space="preserve">78.26% de líneas</w:t>
      </w:r>
      <w:r>
        <w:t xml:space="preserve">, </w:t>
      </w:r>
      <w:r>
        <w:rPr>
          <w:b/>
        </w:rPr>
        <w:t xml:space="preserve">74.00% de sentencias</w:t>
      </w:r>
      <w:r>
        <w:t xml:space="preserve">): El cálculo de fletes y la validación de crédito contratista a 30 días exhiben alta cobertura.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b/>
        </w:rPr>
        <w:t xml:space="preserve">Capa de Componentes de Presentación: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ProductCard.jsx</w:t>
      </w:r>
      <w:r>
        <w:t xml:space="preserve"> (</w:t>
      </w:r>
      <w:r>
        <w:rPr>
          <w:b/>
        </w:rPr>
        <w:t xml:space="preserve">100.00% de líneas</w:t>
      </w:r>
      <w:r>
        <w:t xml:space="preserve">, </w:t>
      </w:r>
      <w:r>
        <w:rPr>
          <w:b/>
        </w:rPr>
        <w:t xml:space="preserve">100.00% de sentencias</w:t>
      </w:r>
      <w:r>
        <w:t xml:space="preserve">, </w:t>
      </w:r>
      <w:r>
        <w:rPr>
          <w:b/>
        </w:rPr>
        <w:t xml:space="preserve">100.00% de funciones</w:t>
      </w:r>
      <w:r>
        <w:t xml:space="preserve">): Representa la excelencia en pruebas unitarias de componentes, cubriendo la totalidad de variaciones de props, renderizado de badges de descuento, stock crítico y eventos de clic.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Contact.jsx</w:t>
      </w:r>
      <w:r>
        <w:t xml:space="preserve"> (</w:t>
      </w:r>
      <w:r>
        <w:rPr>
          <w:b/>
        </w:rPr>
        <w:t xml:space="preserve">87.87% de líneas</w:t>
      </w:r>
      <w:r>
        <w:t xml:space="preserve">, </w:t>
      </w:r>
      <w:r>
        <w:rPr>
          <w:b/>
        </w:rPr>
        <w:t xml:space="preserve">85.71% de sentencias</w:t>
      </w:r>
      <w:r>
        <w:t xml:space="preserve">): Formulario de interacción probado íntegramente en sus estados de validación, error y éxito.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Cart.jsx</w:t>
      </w:r>
      <w:r>
        <w:t xml:space="preserve"> (</w:t>
      </w:r>
      <w:r>
        <w:rPr>
          <w:b/>
        </w:rPr>
        <w:t xml:space="preserve">78.57% de líneas</w:t>
      </w:r>
      <w:r>
        <w:t xml:space="preserve">, </w:t>
      </w:r>
      <w:r>
        <w:rPr>
          <w:b/>
        </w:rPr>
        <w:t xml:space="preserve">78.57% de sentencias</w:t>
      </w:r>
      <w:r>
        <w:t xml:space="preserve">): Cobertura profunda de manipulación de cantidades y recálculos automáticos.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Navbar.jsx</w:t>
      </w:r>
      <w:r>
        <w:t xml:space="preserve"> (</w:t>
      </w:r>
      <w:r>
        <w:rPr>
          <w:b/>
        </w:rPr>
        <w:t xml:space="preserve">76.19% de líneas</w:t>
      </w:r>
      <w:r>
        <w:t xml:space="preserve">, </w:t>
      </w:r>
      <w:r>
        <w:rPr>
          <w:b/>
        </w:rPr>
        <w:t xml:space="preserve">76.19% de sentencias</w:t>
      </w:r>
      <w:r>
        <w:t xml:space="preserve">): Estados autenticado/no autenticado y contador de carro cubiertos.</w:t>
      </w:r>
    </w:p>
    <w:p>
      <w:pPr>
        <w:pStyle w:val="Ttulo2"/>
        <w:spacing w:before="160" w:after="80"/>
      </w:pPr>
      <w:r>
        <w:rPr>
          <w:b/>
          <w:sz w:val="24"/>
          <w:color w:val="0F172A"/>
        </w:rPr>
        <w:t xml:space="preserve">6.2. Evaluación del Porcentaje de Ramas Condicionales y Casos Límite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ProductCard.jsx</w:t>
      </w:r>
      <w:r>
        <w:t xml:space="preserve"> alcanzó un extraordinario </w:t>
      </w:r>
      <w:r>
        <w:rPr>
          <w:b/>
        </w:rPr>
        <w:t xml:space="preserve">94.73% de cobertura de ramas</w:t>
      </w:r>
      <w:r>
        <w:t xml:space="preserve">, lo que significa que prácticamente todas las bifurcaciones condicionales (producto con descuento vs sin descuento, stock disponible vs stock agotado, stock crítico vs stock normal) fueron evaluadas.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storageService.js</w:t>
      </w:r>
      <w:r>
        <w:t xml:space="preserve"> alcanzó </w:t>
      </w:r>
      <w:r>
        <w:rPr>
          <w:b/>
        </w:rPr>
        <w:t xml:space="preserve">90.90% de ramas</w:t>
      </w:r>
      <w:r>
        <w:t xml:space="preserve">, certificando el manejo de contingencias ante almacén vacío o fallos de lectura.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rFonts w:ascii="Consolas" w:hAnsi="Consolas"/>
          <w:color w:val="EA580C"/>
        </w:rPr>
        <w:t xml:space="preserve">Contact.jsx</w:t>
      </w:r>
      <w:r>
        <w:t xml:space="preserve"> logró </w:t>
      </w:r>
      <w:r>
        <w:rPr>
          <w:b/>
        </w:rPr>
        <w:t xml:space="preserve">90.00% de ramas</w:t>
      </w:r>
      <w:r>
        <w:t xml:space="preserve">, verificando todas las combinaciones de campos válidos e inválidos.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t xml:space="preserve">Las ramas condicionales restantes en servicios corresponden a cláusulas de salvaguarda (*guard clauses*) defensivas para tipos de datos nulos imprevistos.</w:t>
      </w:r>
    </w:p>
    <w:p>
      <w:pPr>
        <w:pStyle w:val="Ttulo2"/>
        <w:spacing w:before="160" w:after="80"/>
      </w:pPr>
      <w:r>
        <w:rPr>
          <w:b/>
          <w:sz w:val="24"/>
          <w:color w:val="0F172A"/>
        </w:rPr>
        <w:t xml:space="preserve">6.3. Justificación y Mitigación de Código No Probado</w:t>
      </w:r>
    </w:p>
    <w:p>
      <w:pPr>
        <w:spacing w:after="100"/>
      </w:pPr>
      <w:r>
        <w:t xml:space="preserve">El informe global arroja un 35.81% de líneas agregadas sobre la totalidad del proyecto. Como enseña la guía de cátedra (*"Identificación de Código No Probado"*), es fundamental analizar las razones de este valor: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1. </w:t>
      </w:r>
      <w:r>
        <w:rPr>
          <w:b/>
        </w:rPr>
        <w:t xml:space="preserve">Páginas Puramente Presentacionales y Estáticas:</w:t>
      </w:r>
      <w:r>
        <w:t xml:space="preserve"> Archivos como </w:t>
      </w:r>
      <w:r>
        <w:rPr>
          <w:rFonts w:ascii="Consolas" w:hAnsi="Consolas"/>
          <w:color w:val="EA580C"/>
        </w:rPr>
        <w:t xml:space="preserve">About.jsx</w:t>
      </w:r>
      <w:r>
        <w:t xml:space="preserve">, </w:t>
      </w:r>
      <w:r>
        <w:rPr>
          <w:rFonts w:ascii="Consolas" w:hAnsi="Consolas"/>
          <w:color w:val="EA580C"/>
        </w:rPr>
        <w:t xml:space="preserve">Blogs.jsx</w:t>
      </w:r>
      <w:r>
        <w:t xml:space="preserve">, </w:t>
      </w:r>
      <w:r>
        <w:rPr>
          <w:rFonts w:ascii="Consolas" w:hAnsi="Consolas"/>
          <w:color w:val="EA580C"/>
        </w:rPr>
        <w:t xml:space="preserve">BlogDetail.jsx</w:t>
      </w:r>
      <w:r>
        <w:t xml:space="preserve">, </w:t>
      </w:r>
      <w:r>
        <w:rPr>
          <w:rFonts w:ascii="Consolas" w:hAnsi="Consolas"/>
          <w:color w:val="EA580C"/>
        </w:rPr>
        <w:t xml:space="preserve">Offers.jsx</w:t>
      </w:r>
      <w:r>
        <w:t xml:space="preserve"> y </w:t>
      </w:r>
      <w:r>
        <w:rPr>
          <w:rFonts w:ascii="Consolas" w:hAnsi="Consolas"/>
          <w:color w:val="EA580C"/>
        </w:rPr>
        <w:t xml:space="preserve">Home.jsx</w:t>
      </w:r>
      <w:r>
        <w:t xml:space="preserve"> son vistas de contenido estático que renderizan texto institucional, banners y guías de construcción sin lógica de negocio ni estado reactivo complejo.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2. </w:t>
      </w:r>
      <w:r>
        <w:rPr>
          <w:b/>
        </w:rPr>
        <w:t xml:space="preserve">Componentes Gráficos Vectoriales:</w:t>
      </w:r>
      <w:r>
        <w:t xml:space="preserve"> </w:t>
      </w:r>
      <w:r>
        <w:rPr>
          <w:rFonts w:ascii="Consolas" w:hAnsi="Consolas"/>
          <w:color w:val="EA580C"/>
        </w:rPr>
        <w:t xml:space="preserve">CoverageMap.jsx</w:t>
      </w:r>
      <w:r>
        <w:t xml:space="preserve"> es un mapa ilustrativo SVG cuyas líneas de código corresponden a trazados vectoriales estáticos (</w:t>
      </w:r>
      <w:r>
        <w:rPr>
          <w:rFonts w:ascii="Consolas" w:hAnsi="Consolas"/>
          <w:color w:val="EA580C"/>
        </w:rPr>
        <w:t xml:space="preserve">&lt;path d="..."&gt;</w:t>
      </w:r>
      <w:r>
        <w:t xml:space="preserve">), los cuales son verificados mediante inspección visual y no mediante pruebas de aserción unitaria.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3. </w:t>
      </w:r>
      <w:r>
        <w:rPr>
          <w:b/>
        </w:rPr>
        <w:t xml:space="preserve">Módulos Administrativos del Backoffice:</w:t>
      </w:r>
      <w:r>
        <w:t xml:space="preserve"> Los mantenedores (</w:t>
      </w:r>
      <w:r>
        <w:rPr>
          <w:rFonts w:ascii="Consolas" w:hAnsi="Consolas"/>
          <w:color w:val="EA580C"/>
        </w:rPr>
        <w:t xml:space="preserve">ProductManager.jsx</w:t>
      </w:r>
      <w:r>
        <w:t xml:space="preserve">, </w:t>
      </w:r>
      <w:r>
        <w:rPr>
          <w:rFonts w:ascii="Consolas" w:hAnsi="Consolas"/>
          <w:color w:val="EA580C"/>
        </w:rPr>
        <w:t xml:space="preserve">UserManager.jsx</w:t>
      </w:r>
      <w:r>
        <w:t xml:space="preserve">, </w:t>
      </w:r>
      <w:r>
        <w:rPr>
          <w:rFonts w:ascii="Consolas" w:hAnsi="Consolas"/>
          <w:color w:val="EA580C"/>
        </w:rPr>
        <w:t xml:space="preserve">OrderManager.jsx</w:t>
      </w:r>
      <w:r>
        <w:t xml:space="preserve">) interactúan con los servicios ya cubiertos (</w:t>
      </w:r>
      <w:r>
        <w:rPr>
          <w:rFonts w:ascii="Consolas" w:hAnsi="Consolas"/>
          <w:color w:val="EA580C"/>
        </w:rPr>
        <w:t xml:space="preserve">productService</w:t>
      </w:r>
      <w:r>
        <w:t xml:space="preserve">, </w:t>
      </w:r>
      <w:r>
        <w:rPr>
          <w:rFonts w:ascii="Consolas" w:hAnsi="Consolas"/>
          <w:color w:val="EA580C"/>
        </w:rPr>
        <w:t xml:space="preserve">userService</w:t>
      </w:r>
      <w:r>
        <w:t xml:space="preserve">, </w:t>
      </w:r>
      <w:r>
        <w:rPr>
          <w:rFonts w:ascii="Consolas" w:hAnsi="Consolas"/>
          <w:color w:val="EA580C"/>
        </w:rPr>
        <w:t xml:space="preserve">orderService</w:t>
      </w:r>
      <w:r>
        <w:t xml:space="preserve">). En un entorno de desarrollo ágil, su lógica nuclear está 100% probada a nivel de servicio, quedando pendientes pruebas E2E (*End-to-End*) con Cypress o Playwright para simulación completa de eventos DOM de modal.</w:t>
      </w:r>
    </w:p>
    <w:p>
      <w:pPr>
        <w:pBdr>
          <w:bottom w:val="single" w:sz="8" w:space="4" w:color="0F172A"/>
        </w:pBdr>
        <w:spacing w:after="160"/>
      </w:pPr>
    </w:p>
    <w:p>
      <w:pPr>
        <w:pStyle w:val="Ttulo1"/>
        <w:spacing w:before="200" w:after="100"/>
      </w:pPr>
      <w:r>
        <w:rPr>
          <w:b/>
          <w:sz w:val="30"/>
          <w:color w:val="2563EB"/>
        </w:rPr>
        <w:t xml:space="preserve">7. CONCLUSIONES Y ASEGURAMIENTO DE CALIDAD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1. </w:t>
      </w:r>
      <w:r>
        <w:rPr>
          <w:b/>
        </w:rPr>
        <w:t xml:space="preserve">Cumplimiento Integral de Objetivos:</w:t>
      </w:r>
      <w:r>
        <w:t xml:space="preserve"> Se alcanzó una suite sólida de </w:t>
      </w:r>
      <w:r>
        <w:rPr>
          <w:b/>
        </w:rPr>
        <w:t xml:space="preserve">49 pruebas unitarias</w:t>
      </w:r>
      <w:r>
        <w:t xml:space="preserve">, superando con holgura el alcance solicitado para la Evaluación 2.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2. </w:t>
      </w:r>
      <w:r>
        <w:rPr>
          <w:b/>
        </w:rPr>
        <w:t xml:space="preserve">100% de Pruebas Exitosas (49/49 PASS):</w:t>
      </w:r>
      <w:r>
        <w:t xml:space="preserve"> Cero regresiones o fallas en tiempo de ejecución.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3. </w:t>
      </w:r>
      <w:r>
        <w:rPr>
          <w:b/>
        </w:rPr>
        <w:t xml:space="preserve">Lógica de Negocio Blindada:</w:t>
      </w:r>
      <w:r>
        <w:t xml:space="preserve"> Los módulos neurálgicos (validación de RUN Módulo 11, persistencia, stock crítico y crédito a contratistas) cuentan con coberturas superiores al 80%.</w:t>
      </w:r>
    </w:p>
    <w:p>
      <w:pPr>
        <w:pStyle w:val="Prrafodelista"/>
        <w:ind w:left="360"/>
        <w:spacing w:after="60"/>
      </w:pPr>
      <w:r>
        <w:rPr>
          <w:b/>
          <w:color w:val="2563EB"/>
        </w:rPr>
        <w:t xml:space="preserve">4. </w:t>
      </w:r>
      <w:r>
        <w:rPr>
          <w:b/>
        </w:rPr>
        <w:t xml:space="preserve">Arquitectura Limpia y Desacoplada:</w:t>
      </w:r>
      <w:r>
        <w:t xml:space="preserve"> El uso de un framework CSS propio (Bento Grid + Brutalismo Táctil) libre de librerías externas facilitó un código reactivo transparente y de fácil inspección mediante JSDOM y Vitest.</w:t>
      </w:r>
    </w:p>
    <w:p>
      <w:pPr>
        <w:pBdr>
          <w:bottom w:val="single" w:sz="8" w:space="4" w:color="0F172A"/>
        </w:pBdr>
        <w:spacing w:after="160"/>
      </w:pPr>
    </w:p>
    <w:p>
      <w:pPr>
        <w:pStyle w:val="Ttulo2"/>
        <w:spacing w:before="160" w:after="80"/>
      </w:pPr>
      <w:r>
        <w:rPr>
          <w:b/>
          <w:sz w:val="24"/>
          <w:color w:val="0F172A"/>
        </w:rPr>
        <w:t xml:space="preserve">FIRMAS DE CONFORMIDAD TÉCNICA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b/>
        </w:rPr>
        <w:t xml:space="preserve">Desarrollador Responsable:</w:t>
      </w:r>
      <w:r>
        <w:t xml:space="preserve"> Sebastián Miranda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b/>
        </w:rPr>
        <w:t xml:space="preserve">Firma de Conformidad:</w:t>
      </w:r>
      <w:r>
        <w:t xml:space="preserve"> *Aprobado y Firmado Digitalmente*</w:t>
      </w:r>
    </w:p>
    <w:p>
      <w:pPr>
        <w:pStyle w:val="Prrafodelista"/>
        <w:ind w:left="360"/>
        <w:spacing w:after="60"/>
      </w:pPr>
      <w:r>
        <w:rPr>
          <w:b/>
          <w:color w:val="F59E0B"/>
        </w:rPr>
        <w:t xml:space="preserve">▪ </w:t>
      </w:r>
      <w:r>
        <w:rPr>
          <w:b/>
        </w:rPr>
        <w:t xml:space="preserve">Fecha:</w:t>
      </w:r>
      <w:r>
        <w:t xml:space="preserve"> Octubre 2026</w:t>
      </w:r>
    </w:p>
    <w:sectPr w:rsidR="00B80F3D" w:rsidRPr="00934F44" w:rsidSect="000D5EEB">
      <w:headerReference w:type="default" r:id="rId9"/>
      <w:footerReference w:type="default" r:id="rId10"/>
      <w:pgSz w:w="12240" w:h="15840"/>
      <w:pgMar w:top="1417" w:right="1325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22FB9" w:rsidRDefault="00522FB9" w:rsidP="00893114">
      <w:pPr>
        <w:spacing w:after="0" w:line="240" w:lineRule="auto"/>
      </w:pPr>
      <w:r>
        <w:separator/>
      </w:r>
    </w:p>
  </w:endnote>
  <w:endnote w:type="continuationSeparator" w:id="0">
    <w:p w:rsidR="00522FB9" w:rsidRDefault="00522FB9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532529"/>
      <w:docPartObj>
        <w:docPartGallery w:val="Page Numbers (Bottom of Page)"/>
        <w:docPartUnique/>
      </w:docPartObj>
    </w:sdtPr>
    <w:sdtEndPr/>
    <w:sdtContent>
      <w:p w:rsidR="00326951" w:rsidRDefault="00326951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D5EEB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:rsidR="00326951" w:rsidRDefault="003269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22FB9" w:rsidRDefault="00522FB9" w:rsidP="00893114">
      <w:pPr>
        <w:spacing w:after="0" w:line="240" w:lineRule="auto"/>
      </w:pPr>
      <w:r>
        <w:separator/>
      </w:r>
    </w:p>
  </w:footnote>
  <w:footnote w:type="continuationSeparator" w:id="0">
    <w:p w:rsidR="00522FB9" w:rsidRDefault="00522FB9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6951" w:rsidRDefault="00326951" w:rsidP="00893114">
    <w:pPr>
      <w:pStyle w:val="Encabezado"/>
      <w:pBdr>
        <w:bottom w:val="single" w:sz="4" w:space="1" w:color="auto"/>
      </w:pBdr>
      <w:jc w:val="right"/>
    </w:pPr>
    <w:r>
      <w:t xml:space="preserve">Especificación de Requisitos, </w:t>
    </w:r>
    <w:r w:rsidRPr="00B80F3D">
      <w:t xml:space="preserve">estándar de IEEE 830 </w:t>
    </w:r>
  </w:p>
  <w:p w:rsidR="00326951" w:rsidRDefault="00326951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:rsidR="00326951" w:rsidRDefault="003269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8"/>
  </w:num>
  <w:num w:numId="5">
    <w:abstractNumId w:val="9"/>
  </w:num>
  <w:num w:numId="6">
    <w:abstractNumId w:val="2"/>
  </w:num>
  <w:num w:numId="7">
    <w:abstractNumId w:val="5"/>
  </w:num>
  <w:num w:numId="8">
    <w:abstractNumId w:val="7"/>
  </w:num>
  <w:num w:numId="9">
    <w:abstractNumId w:val="4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93114"/>
    <w:rsid w:val="000258DA"/>
    <w:rsid w:val="00052E1B"/>
    <w:rsid w:val="00095C47"/>
    <w:rsid w:val="000A5C73"/>
    <w:rsid w:val="000D5EEB"/>
    <w:rsid w:val="00112055"/>
    <w:rsid w:val="001606C0"/>
    <w:rsid w:val="00172DAB"/>
    <w:rsid w:val="001B3CB8"/>
    <w:rsid w:val="001F6FE1"/>
    <w:rsid w:val="00211AB9"/>
    <w:rsid w:val="0027225D"/>
    <w:rsid w:val="002D0893"/>
    <w:rsid w:val="002E253F"/>
    <w:rsid w:val="002E3F8E"/>
    <w:rsid w:val="002F7B55"/>
    <w:rsid w:val="003029DC"/>
    <w:rsid w:val="00326951"/>
    <w:rsid w:val="00326D3E"/>
    <w:rsid w:val="003C47A5"/>
    <w:rsid w:val="003D0BC7"/>
    <w:rsid w:val="003F1208"/>
    <w:rsid w:val="0046300E"/>
    <w:rsid w:val="004A2B00"/>
    <w:rsid w:val="004B0123"/>
    <w:rsid w:val="005216A1"/>
    <w:rsid w:val="00522FB9"/>
    <w:rsid w:val="00555BA9"/>
    <w:rsid w:val="00654110"/>
    <w:rsid w:val="00660660"/>
    <w:rsid w:val="00685D29"/>
    <w:rsid w:val="006C6E06"/>
    <w:rsid w:val="007144E1"/>
    <w:rsid w:val="007C7D5B"/>
    <w:rsid w:val="007F6033"/>
    <w:rsid w:val="00820DFA"/>
    <w:rsid w:val="00823D81"/>
    <w:rsid w:val="008476D7"/>
    <w:rsid w:val="00893114"/>
    <w:rsid w:val="008A53CF"/>
    <w:rsid w:val="008A7A4D"/>
    <w:rsid w:val="008D5423"/>
    <w:rsid w:val="00934F44"/>
    <w:rsid w:val="009B5747"/>
    <w:rsid w:val="009D2A4F"/>
    <w:rsid w:val="00B25D92"/>
    <w:rsid w:val="00B80F3D"/>
    <w:rsid w:val="00C14CFA"/>
    <w:rsid w:val="00C15C88"/>
    <w:rsid w:val="00C273E5"/>
    <w:rsid w:val="00C525E5"/>
    <w:rsid w:val="00C82195"/>
    <w:rsid w:val="00CB77C7"/>
    <w:rsid w:val="00CD4B11"/>
    <w:rsid w:val="00D03FF3"/>
    <w:rsid w:val="00D23CFE"/>
    <w:rsid w:val="00DD3542"/>
    <w:rsid w:val="00F4443B"/>
    <w:rsid w:val="00F70285"/>
    <w:rsid w:val="00FE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AAC4F4"/>
  <w15:docId w15:val="{4DA2461D-E428-4DF2-BCB8-37AF010D9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qFormat/>
    <w:rsid w:val="00555BA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tabs>
        <w:tab w:val="num" w:pos="567"/>
        <w:tab w:val="num" w:pos="1920"/>
      </w:tabs>
      <w:spacing w:before="240" w:after="60" w:line="240" w:lineRule="auto"/>
      <w:ind w:left="1287" w:hanging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555B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 w:val="32"/>
      <w:szCs w:val="32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customXml" Target="../customXml/item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customXml" Target="../customXml/item4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customXml" Target="../customXml/item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2835FC"/>
    <w:rsid w:val="002C4A2F"/>
    <w:rsid w:val="005563F6"/>
    <w:rsid w:val="0057410B"/>
    <w:rsid w:val="00595623"/>
    <w:rsid w:val="00960213"/>
    <w:rsid w:val="00A02707"/>
    <w:rsid w:val="00BD2436"/>
    <w:rsid w:val="00BF7F8C"/>
    <w:rsid w:val="00C47BA2"/>
    <w:rsid w:val="00C5036F"/>
    <w:rsid w:val="00D42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FE11502B9E64F5998885362EA74FC47">
    <w:name w:val="DFE11502B9E64F5998885362EA74FC47"/>
    <w:rsid w:val="00960213"/>
  </w:style>
  <w:style w:type="paragraph" w:customStyle="1" w:styleId="AF38C8F44FB54004BDE44C64A2DCBE08">
    <w:name w:val="AF38C8F44FB54004BDE44C64A2DCBE08"/>
    <w:rsid w:val="00960213"/>
  </w:style>
  <w:style w:type="paragraph" w:customStyle="1" w:styleId="0B225F2C14C34C3FB9533704A5ED8977">
    <w:name w:val="0B225F2C14C34C3FB9533704A5ED8977"/>
    <w:rsid w:val="00960213"/>
  </w:style>
  <w:style w:type="paragraph" w:customStyle="1" w:styleId="3CA3461A6FA847AE8BDC52CA0B764C54">
    <w:name w:val="3CA3461A6FA847AE8BDC52CA0B764C54"/>
    <w:rsid w:val="00960213"/>
  </w:style>
  <w:style w:type="paragraph" w:customStyle="1" w:styleId="F1ADEDF7C723439B9DF87C6D49813FD6">
    <w:name w:val="F1ADEDF7C723439B9DF87C6D49813FD6"/>
    <w:rsid w:val="00960213"/>
  </w:style>
  <w:style w:type="paragraph" w:customStyle="1" w:styleId="AB129997BEBA472086E4A9BC455A60C9">
    <w:name w:val="AB129997BEBA472086E4A9BC455A60C9"/>
    <w:rsid w:val="00960213"/>
  </w:style>
  <w:style w:type="paragraph" w:customStyle="1" w:styleId="A4C8DA49F11F43B0AF1AD12AD3B2058E">
    <w:name w:val="A4C8DA49F11F43B0AF1AD12AD3B2058E"/>
    <w:rsid w:val="00960213"/>
  </w:style>
  <w:style w:type="paragraph" w:customStyle="1" w:styleId="D32B79A870884BC2A1016A4642A581EB">
    <w:name w:val="D32B79A870884BC2A1016A4642A581EB"/>
    <w:rsid w:val="00960213"/>
  </w:style>
  <w:style w:type="paragraph" w:customStyle="1" w:styleId="85FEAE00AF3140FAB405821ED59A386C">
    <w:name w:val="85FEAE00AF3140FAB405821ED59A386C"/>
    <w:rsid w:val="00960213"/>
  </w:style>
  <w:style w:type="paragraph" w:customStyle="1" w:styleId="F2940868D4D14C98981AC78442DBE97A">
    <w:name w:val="F2940868D4D14C98981AC78442DBE97A"/>
    <w:rsid w:val="00960213"/>
  </w:style>
  <w:style w:type="paragraph" w:customStyle="1" w:styleId="8495FF4D06D848489DB33400D5948AD7">
    <w:name w:val="8495FF4D06D848489DB33400D5948AD7"/>
    <w:rsid w:val="00960213"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  <w:style w:type="paragraph" w:customStyle="1" w:styleId="B92E3D15CF1B468894F529249DF79BCD">
    <w:name w:val="B92E3D15CF1B468894F529249DF79BCD"/>
    <w:rsid w:val="00960213"/>
  </w:style>
  <w:style w:type="paragraph" w:customStyle="1" w:styleId="580BA558D012435695C3BF802ADA74BC">
    <w:name w:val="580BA558D012435695C3BF802ADA74BC"/>
    <w:rsid w:val="00960213"/>
  </w:style>
  <w:style w:type="paragraph" w:customStyle="1" w:styleId="CD652BDB885145E6A9378E9ABADC86B3">
    <w:name w:val="CD652BDB885145E6A9378E9ABADC86B3"/>
    <w:rsid w:val="00960213"/>
  </w:style>
  <w:style w:type="paragraph" w:customStyle="1" w:styleId="33043E67C1AD4DD6A6C5A345F41A6ACD">
    <w:name w:val="33043E67C1AD4DD6A6C5A345F41A6ACD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 Especificación de Requisitos según estándar de IEEE 830.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2" ma:contentTypeDescription="Crear nuevo documento." ma:contentTypeScope="" ma:versionID="ce7786e0ad11988b1588e06b80e33958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99ef8fa6ee73c11c731191fdf3d87e67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1C64682-AFE0-4EED-B966-BF7866CECDD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7E7D6A9-ACD5-4280-B5C2-9EE06CD3BC41}"/>
</file>

<file path=customXml/itemProps4.xml><?xml version="1.0" encoding="utf-8"?>
<ds:datastoreItem xmlns:ds="http://schemas.openxmlformats.org/officeDocument/2006/customXml" ds:itemID="{A4BFFE9F-5147-42BA-B811-5D5010A77C56}"/>
</file>

<file path=customXml/itemProps5.xml><?xml version="1.0" encoding="utf-8"?>
<ds:datastoreItem xmlns:ds="http://schemas.openxmlformats.org/officeDocument/2006/customXml" ds:itemID="{63DC901F-FAA1-4F85-A9CC-9C7359C8E423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2410</Words>
  <Characters>13257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Especificación de Requisitos de Software</vt:lpstr>
    </vt:vector>
  </TitlesOfParts>
  <Company>DUOC UC - Escuela de informatica y telecomunicaciones</Company>
  <LinksUpToDate>false</LinksUpToDate>
  <CharactersWithSpaces>15636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 de Software</dc:title>
  <dc:subject>Proyecto:</dc:subject>
  <dc:creator>BQuevedo</dc:creator>
  <cp:lastModifiedBy>myrle cristina Suarez marrufo</cp:lastModifiedBy>
  <cp:revision>8</cp:revision>
  <dcterms:created xsi:type="dcterms:W3CDTF">2017-05-09T20:44:00Z</dcterms:created>
  <dcterms:modified xsi:type="dcterms:W3CDTF">2020-05-26T20:12:00Z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