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76" w:before="567" w:after="0"/>
        <w:rPr>
          <w:color w:val="404040"/>
        </w:rPr>
      </w:pPr>
      <w:r>
        <w:rPr>
          <w:color w:val="404040"/>
        </w:rPr>
      </w:r>
    </w:p>
    <w:tbl>
      <w:tblPr>
        <w:tblStyle w:val="Table1"/>
        <w:tblW w:w="9748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16"/>
        <w:gridCol w:w="2956"/>
        <w:gridCol w:w="2384"/>
        <w:gridCol w:w="2391"/>
      </w:tblGrid>
      <w:tr>
        <w:trPr>
          <w:trHeight w:val="280" w:hRule="atLeast"/>
        </w:trPr>
        <w:tc>
          <w:tcPr>
            <w:tcW w:w="2016" w:type="dxa"/>
            <w:vMerge w:val="restart"/>
            <w:tcBorders/>
          </w:tcPr>
          <w:p>
            <w:pPr>
              <w:pStyle w:val="LO-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1151255" cy="1291590"/>
                  <wp:effectExtent l="0" t="0" r="0" b="0"/>
                  <wp:docPr id="1" name="image1.jpg" descr="charge_de_emploi_CMJ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charge_de_emploi_CMJ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6" w:type="dxa"/>
            <w:tcBorders>
              <w:bottom w:val="single" w:sz="4" w:space="0" w:color="BFBFBF"/>
            </w:tcBorders>
            <w:shd w:fill="F7F7F7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84" w:type="dxa"/>
            <w:tcBorders>
              <w:bottom w:val="single" w:sz="4" w:space="0" w:color="BFBFBF"/>
            </w:tcBorders>
            <w:shd w:fill="F7F7F7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2391" w:type="dxa"/>
            <w:tcBorders>
              <w:bottom w:val="single" w:sz="4" w:space="0" w:color="BFBFBF"/>
            </w:tcBorders>
            <w:shd w:fill="F7F7F7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</w:tr>
      <w:tr>
        <w:trPr>
          <w:trHeight w:val="600" w:hRule="atLeast"/>
        </w:trPr>
        <w:tc>
          <w:tcPr>
            <w:tcW w:w="2016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</w:r>
          </w:p>
        </w:tc>
        <w:tc>
          <w:tcPr>
            <w:tcW w:w="7731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Dossier-Projet</w:t>
            </w:r>
          </w:p>
        </w:tc>
      </w:tr>
      <w:tr>
        <w:trPr>
          <w:trHeight w:val="40" w:hRule="atLeast"/>
        </w:trPr>
        <w:tc>
          <w:tcPr>
            <w:tcW w:w="2016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mallCaps/>
                <w:sz w:val="48"/>
                <w:szCs w:val="48"/>
              </w:rPr>
            </w:pPr>
            <w:r>
              <w:rPr>
                <w:smallCaps/>
                <w:sz w:val="48"/>
                <w:szCs w:val="48"/>
              </w:rPr>
            </w:r>
          </w:p>
        </w:tc>
        <w:tc>
          <w:tcPr>
            <w:tcW w:w="7731" w:type="dxa"/>
            <w:gridSpan w:val="3"/>
            <w:tcBorders>
              <w:top w:val="single" w:sz="18" w:space="0" w:color="BFBFBF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  <w:tr>
        <w:trPr>
          <w:trHeight w:val="680" w:hRule="atLeast"/>
        </w:trPr>
        <w:tc>
          <w:tcPr>
            <w:tcW w:w="2016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956" w:type="dxa"/>
            <w:tcBorders/>
            <w:shd w:fill="F2F2F2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84" w:type="dxa"/>
            <w:tcBorders/>
            <w:shd w:fill="F2F2F2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391" w:type="dxa"/>
            <w:tcBorders/>
            <w:shd w:fill="F2F2F2" w:val="clear"/>
            <w:vAlign w:val="bottom"/>
          </w:tcPr>
          <w:p>
            <w:pPr>
              <w:pStyle w:val="LO-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Noto Sans Symbols" w:cs="Noto Sans Symbols" w:ascii="Noto Sans Symbols" w:hAnsi="Noto Sans Symbols"/>
                <w:color w:val="FFFFFF"/>
                <w:sz w:val="48"/>
                <w:szCs w:val="48"/>
              </w:rPr>
              <w:t>◢</w:t>
            </w:r>
          </w:p>
        </w:tc>
      </w:tr>
      <w:tr>
        <w:trPr>
          <w:trHeight w:val="40" w:hRule="atLeast"/>
        </w:trPr>
        <w:tc>
          <w:tcPr>
            <w:tcW w:w="2016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mallCaps/>
                <w:sz w:val="36"/>
                <w:szCs w:val="36"/>
              </w:rPr>
            </w:pPr>
            <w:r>
              <w:rPr>
                <w:rFonts w:eastAsia="Arial" w:cs="Arial" w:ascii="Arial" w:hAnsi="Arial"/>
                <w:smallCaps/>
                <w:sz w:val="36"/>
                <w:szCs w:val="36"/>
              </w:rPr>
            </w:r>
          </w:p>
        </w:tc>
        <w:tc>
          <w:tcPr>
            <w:tcW w:w="2956" w:type="dxa"/>
            <w:tcBorders>
              <w:bottom w:val="single" w:sz="18" w:space="0" w:color="D60093"/>
            </w:tcBorders>
            <w:shd w:fill="FFFFFF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84" w:type="dxa"/>
            <w:tcBorders>
              <w:bottom w:val="single" w:sz="18" w:space="0" w:color="D60093"/>
            </w:tcBorders>
            <w:shd w:fill="FFFFFF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  <w:tc>
          <w:tcPr>
            <w:tcW w:w="2391" w:type="dxa"/>
            <w:tcBorders>
              <w:bottom w:val="single" w:sz="18" w:space="0" w:color="D60093"/>
            </w:tcBorders>
            <w:shd w:fill="FFFFFF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mallCaps/>
                <w:sz w:val="2"/>
                <w:szCs w:val="2"/>
              </w:rPr>
            </w:pPr>
            <w:r>
              <w:rPr>
                <w:rFonts w:eastAsia="Arial" w:cs="Arial" w:ascii="Arial" w:hAnsi="Arial"/>
                <w:smallCaps/>
                <w:sz w:val="2"/>
                <w:szCs w:val="2"/>
              </w:rPr>
            </w:r>
          </w:p>
        </w:tc>
      </w:tr>
    </w:tbl>
    <w:p>
      <w:pPr>
        <w:pStyle w:val="LO-normal"/>
        <w:tabs>
          <w:tab w:val="clear" w:pos="720"/>
          <w:tab w:val="center" w:pos="4536" w:leader="none"/>
          <w:tab w:val="right" w:pos="9072" w:leader="none"/>
        </w:tabs>
        <w:spacing w:lineRule="auto" w:line="240" w:before="0" w:after="0"/>
        <w:rPr/>
      </w:pPr>
      <w:r>
        <w:rPr/>
      </w:r>
    </w:p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</w:p>
    <w:tbl>
      <w:tblPr>
        <w:tblStyle w:val="Table2"/>
        <w:tblW w:w="7796" w:type="dxa"/>
        <w:jc w:val="left"/>
        <w:tblInd w:w="16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808080"/>
              </w:rPr>
              <w:t xml:space="preserve"> </w:t>
            </w:r>
            <w:r>
              <w:rPr>
                <w:color w:val="404040"/>
              </w:rPr>
              <w:t>FÉLIX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Jérémy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color w:val="404040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  <w:tcBorders/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  <w:t>70 chemin de la Foyère, 73800 CRUET, Savoie</w:t>
            </w:r>
          </w:p>
        </w:tc>
      </w:tr>
      <w:tr>
        <w:trPr/>
        <w:tc>
          <w:tcPr>
            <w:tcW w:w="2345" w:type="dxa"/>
            <w:tcBorders>
              <w:left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i/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O-normal"/>
              <w:widowControl w:val="false"/>
              <w:spacing w:before="0" w:after="200"/>
              <w:ind w:left="-42" w:hanging="0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  <w:tc>
          <w:tcPr>
            <w:tcW w:w="5215" w:type="dxa"/>
            <w:vMerge w:val="continue"/>
            <w:tcBorders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Noto Sans Symbols" w:hAnsi="Noto Sans Symbols" w:eastAsia="Noto Sans Symbols" w:cs="Noto Sans Symbols"/>
                <w:color w:val="D60093"/>
                <w:sz w:val="12"/>
                <w:szCs w:val="12"/>
              </w:rPr>
            </w:pPr>
            <w:r>
              <w:rPr>
                <w:rFonts w:eastAsia="Noto Sans Symbols" w:cs="Noto Sans Symbols" w:ascii="Noto Sans Symbols" w:hAnsi="Noto Sans Symbols"/>
                <w:color w:val="D60093"/>
                <w:sz w:val="12"/>
                <w:szCs w:val="12"/>
              </w:rPr>
            </w:r>
          </w:p>
        </w:tc>
      </w:tr>
    </w:tbl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tbl>
      <w:tblPr>
        <w:tblStyle w:val="Table3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Certification professionnelle visée</w:t>
            </w:r>
          </w:p>
        </w:tc>
      </w:tr>
      <w:tr>
        <w:trPr>
          <w:trHeight w:val="40" w:hRule="atLeast"/>
        </w:trPr>
        <w:tc>
          <w:tcPr>
            <w:tcW w:w="9782" w:type="dxa"/>
            <w:tcBorders>
              <w:bottom w:val="single" w:sz="12" w:space="0" w:color="D60093"/>
            </w:tcBorders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560" w:hRule="atLeast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Exploiter les outils de développement de la chaîne DevOps</w:t>
            </w:r>
          </w:p>
        </w:tc>
      </w:tr>
      <w:tr>
        <w:trPr>
          <w:trHeight w:val="1940" w:hRule="atLeast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>
            <w:pPr>
              <w:pStyle w:val="LO-normal"/>
              <w:widowControl w:val="false"/>
              <w:spacing w:before="0" w:after="20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</w:p>
    <w:p>
      <w:pPr>
        <w:pStyle w:val="LO-normal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</w:r>
      <w:r>
        <w:br w:type="page"/>
      </w:r>
    </w:p>
    <w:tbl>
      <w:tblPr>
        <w:tblStyle w:val="Table4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>
              <w:bottom w:val="single" w:sz="24" w:space="0" w:color="D60093"/>
            </w:tcBorders>
          </w:tcPr>
          <w:p>
            <w:pPr>
              <w:pStyle w:val="LO-normal"/>
              <w:pageBreakBefore/>
              <w:widowControl w:val="false"/>
              <w:spacing w:before="0" w:after="200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>
          <w:trHeight w:val="360" w:hRule="atLeast"/>
        </w:trPr>
        <w:tc>
          <w:tcPr>
            <w:tcW w:w="9782" w:type="dxa"/>
            <w:tcBorders>
              <w:top w:val="single" w:sz="24" w:space="0" w:color="D60093"/>
            </w:tcBorders>
          </w:tcPr>
          <w:p>
            <w:pPr>
              <w:pStyle w:val="LO-normal"/>
              <w:widowControl w:val="false"/>
              <w:spacing w:before="0" w:after="20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1) Remerciements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2) Résumé du projet en anglais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/>
            </w:pPr>
            <w:r>
              <w:rPr>
                <w:b w:val="false"/>
                <w:bCs w:val="false"/>
                <w:color w:val="000000"/>
              </w:rPr>
              <w:t xml:space="preserve">3) </w:t>
            </w:r>
            <w:hyperlink w:anchor="_heading=h.1fob9te">
              <w:r>
                <w:rPr>
                  <w:rStyle w:val="Sautdindex"/>
                  <w:b w:val="false"/>
                  <w:bCs w:val="false"/>
                  <w:color w:val="000000"/>
                </w:rPr>
                <w:t>Liste des compétences du référentiel</w:t>
              </w:r>
            </w:hyperlink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4) Introduction : contexte du projet, résumé exécutif</w:t>
              <w:tab/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5) Partie 1 : compréhension du besoin et traduction technique de la réponse apportée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6) Partie 2 : enjeux de la mise en œuvre du projet : justification des choix et arbitrages réalisés, problèmes rencontrés et solutions apportés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7) Partie 3 : bilan de projet et améliorations envisagées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8) Conclusion : apprentissages, perspectives pour le projet professionnel envisagé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</w:tbl>
    <w:p>
      <w:pPr>
        <w:pStyle w:val="LO-normal"/>
        <w:tabs>
          <w:tab w:val="clear" w:pos="720"/>
          <w:tab w:val="left" w:pos="567" w:leader="none"/>
          <w:tab w:val="right" w:pos="9072" w:leader="none"/>
        </w:tabs>
        <w:spacing w:lineRule="auto" w:line="240" w:before="0" w:after="12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tbl>
      <w:tblPr>
        <w:tblStyle w:val="Table5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pageBreakBefore/>
              <w:widowControl w:val="false"/>
              <w:rPr/>
            </w:pPr>
            <w:bookmarkStart w:id="0" w:name="_heading=h.gjdgxs"/>
            <w:bookmarkEnd w:id="0"/>
            <w:r>
              <w:rPr/>
              <w:t>1 - Remerciements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before="0" w:after="200"/>
              <w:jc w:val="center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/>
          </w:tcPr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LO-normal"/>
              <w:widowControl w:val="false"/>
              <w:spacing w:before="0" w:after="200"/>
              <w:jc w:val="left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5441950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br w:type="page"/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Shape 6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5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7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2 – Résumé du projet en anglais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i w:val="false"/>
                <w:i w:val="false"/>
                <w:iCs w:val="false"/>
                <w:color w:val="FFFFFF"/>
                <w:sz w:val="2"/>
                <w:szCs w:val="2"/>
              </w:rPr>
            </w:pPr>
            <w:r>
              <w:rPr>
                <w:b/>
                <w:i w:val="false"/>
                <w:iCs w:val="false"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  <w:t>Copier collé de l’autre résumé en anglais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404040"/>
                <w:sz w:val="28"/>
                <w:szCs w:val="28"/>
              </w:rPr>
            </w:pPr>
            <w:r>
              <w:rPr>
                <w:i w:val="false"/>
                <w:iCs w:val="false"/>
                <w:color w:val="404040"/>
                <w:sz w:val="28"/>
                <w:szCs w:val="28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5441950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4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7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5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6"/>
        <w:tblW w:w="9796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96"/>
      </w:tblGrid>
      <w:tr>
        <w:trPr/>
        <w:tc>
          <w:tcPr>
            <w:tcW w:w="9796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3 - Liste des compétences du référentiel</w:t>
            </w:r>
          </w:p>
        </w:tc>
      </w:tr>
      <w:tr>
        <w:trPr>
          <w:trHeight w:val="20" w:hRule="atLeast"/>
        </w:trPr>
        <w:tc>
          <w:tcPr>
            <w:tcW w:w="9796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96" w:type="dxa"/>
            <w:tcBorders>
              <w:top w:val="single" w:sz="18" w:space="0" w:color="D60093"/>
            </w:tcBorders>
          </w:tcPr>
          <w:p>
            <w:pPr>
              <w:pStyle w:val="Corpsdetexte"/>
              <w:widowControl w:val="false"/>
              <w:spacing w:lineRule="auto" w:line="240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spacing w:lineRule="auto" w:line="240" w:before="0" w:after="0"/>
              <w:rPr>
                <w:color w:val="404040"/>
              </w:rPr>
            </w:pPr>
            <w:bookmarkStart w:id="1" w:name="docs-internal-guid-a4ee2eaf-7fff-dd51-86"/>
            <w:bookmarkEnd w:id="1"/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C1. Assurer le versionnement d’un code source d’une application organisée en fonctionnalités et lots à l’aide d’un logiciel de contrôle de version de manière à garantir la fiabilité du code source dans un environnement multi-contributeurs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Les sources sont versionnées avec Git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Git en ligne de commande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Respect d’un gitflow</w:t>
            </w:r>
          </w:p>
          <w:p>
            <w:pPr>
              <w:pStyle w:val="Corpsdetexte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Utilisation de Github ou Gitlab par exemple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C2. Contrôler l'exécution du code source à l’aide de tests et d’outils d’analyses statiques du code source afin de minimiser le risque d’erreur dans un contexte de livraison continue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Utilisation d’un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linter (natif IDE ou externe)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Environnement de test (virtuel ou conteneurisé par exemple)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Au moins des tests unitaires d’intégrés (pas de minimum de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coverage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Au moins des tests fonctionnels d’intégrés (pas de minimum de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coverage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)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Savoir récupérer la valeur de la couverture du code par les tests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Exécuter les tests</w:t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Interpréter les résultats et les erreurs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C3. Automatiser les phases de tests unitaires et d’analyses statiques du code source lors du partage des sources à l’aide d’un outil d’intégration continue* de manière à prévenir les erreurs potentielles</w:t>
            </w:r>
          </w:p>
          <w:p>
            <w:pPr>
              <w:pStyle w:val="Corpsdetexte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Configurer l’intégration continue, avec Github Actions ou Gitlab CI/CD</w:t>
            </w:r>
          </w:p>
          <w:p>
            <w:pPr>
              <w:pStyle w:val="Corpsdetexte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Paramétrer les phases d'exécution des tests dans l’environnement de test à chaque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push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(sur la branche concernée)</w:t>
            </w:r>
          </w:p>
          <w:p>
            <w:pPr>
              <w:pStyle w:val="Corpsdetexte"/>
              <w:widowControl w:val="false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C4. Concevoir un processus de livraison continue à l’aide d’outils d’automatisation de manière à l’intégrer au processus de développement</w:t>
            </w:r>
          </w:p>
          <w:p>
            <w:pPr>
              <w:pStyle w:val="Corpsdetexte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À chaque </w:t>
            </w:r>
            <w:r>
              <w:rPr>
                <w:rFonts w:ascii="Roboto Condensed;sans-serif" w:hAnsi="Roboto Condensed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push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(sur la branche concernée) paramétrer les phases de build pour un environnement de pré-production</w:t>
            </w:r>
          </w:p>
          <w:p>
            <w:pPr>
              <w:pStyle w:val="Corpsdetexte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Paramétrer les phases de livraison des builds en environnement de pré-production</w:t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bookmarkStart w:id="2" w:name="docs-internal-guid-1d279132-7fff-3aa6-22"/>
            <w:bookmarkEnd w:id="2"/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C5. Développer l’architecture d’une application en micro-services à l’aide d’outils et de bibliothèques logicielles adaptées afin de réduire la complexité globale du système</w:t>
            </w:r>
          </w:p>
          <w:p>
            <w:pPr>
              <w:pStyle w:val="Corpsdetexte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Décomposer une application monolithique en plusieurs composants et services</w:t>
            </w:r>
          </w:p>
          <w:p>
            <w:pPr>
              <w:pStyle w:val="Corpsdetexte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Utiliser un service de conteneurisation pour tous les environnements : dev, test, prod, etc</w:t>
            </w:r>
          </w:p>
          <w:p>
            <w:pPr>
              <w:pStyle w:val="Corpsdetexte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Adapter toute la chaîne DevOps à cette nouveauté</w:t>
            </w:r>
          </w:p>
          <w:p>
            <w:pPr>
              <w:pStyle w:val="Corpsdetexte"/>
              <w:rPr>
                <w:color w:val="404040"/>
              </w:rPr>
            </w:pPr>
            <w:r>
              <w:rPr/>
            </w:r>
          </w:p>
          <w:p>
            <w:pPr>
              <w:pStyle w:val="Corpsdetext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C6. Concevoir un système de veille technologique permettant la collecte, la classification, l’analyse et la diffusion de l’information aux différents acteurs de l’organisation afin d’améliorer la prise de décisions techniques</w:t>
            </w:r>
          </w:p>
          <w:p>
            <w:pPr>
              <w:pStyle w:val="Corpsdetexte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définir des objectifs à sa veille ou encore des thématiques de veille</w:t>
            </w:r>
          </w:p>
          <w:p>
            <w:pPr>
              <w:pStyle w:val="Corpsdetexte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planifier les temps de veille : durée, fréquence</w:t>
            </w:r>
          </w:p>
          <w:p>
            <w:pPr>
              <w:pStyle w:val="Corpsdetexte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organiser sa collecte d’information : outils de curation, outils de sauvegarde, etc</w:t>
            </w:r>
          </w:p>
          <w:p>
            <w:pPr>
              <w:pStyle w:val="Corpsdetexte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organiser le partage voir la diffusion des informations pertinantes</w:t>
            </w:r>
          </w:p>
          <w:p>
            <w:pPr>
              <w:pStyle w:val="Corpsdetexte"/>
              <w:rPr>
                <w:color w:val="404040"/>
              </w:rPr>
            </w:pPr>
            <w:r>
              <w:rPr/>
            </w:r>
          </w:p>
          <w:p>
            <w:pPr>
              <w:pStyle w:val="Corpsdetext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rFonts w:ascii="Roboto Condensed;sans-serif" w:hAnsi="Roboto Condensed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C7. Accompagner les collaborateurs au sein de l’équipe projet dans la sensibilisation et l’acculturation des méthodes d’organisation et de production DevOps de manière à optimiser le cycle de livraison d’un projet</w:t>
            </w:r>
          </w:p>
          <w:p>
            <w:pPr>
              <w:pStyle w:val="Corpsdetexte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expliquer et partager la culture DevOps</w:t>
            </w:r>
          </w:p>
          <w:p>
            <w:pPr>
              <w:pStyle w:val="Corpsdetexte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expliquer et partager la méthode DevOps : les rôles, les outils, les leviers, etc</w:t>
            </w:r>
          </w:p>
          <w:p>
            <w:pPr>
              <w:pStyle w:val="Corpsdetexte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analyser un processus Devops</w:t>
            </w:r>
          </w:p>
          <w:p>
            <w:pPr>
              <w:pStyle w:val="Corpsdetexte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9" w:hanging="283"/>
              <w:rPr>
                <w:color w:val="404040"/>
              </w:rPr>
            </w:pPr>
            <w:r>
              <w:rPr>
                <w:rFonts w:ascii="Roboto Condensed;sans-serif" w:hAnsi="Roboto Condensed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préconiser des améliorations à un processus DevOps</w:t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  <w:p>
            <w:pPr>
              <w:pStyle w:val="Corpsdetexte"/>
              <w:widowControl w:val="false"/>
              <w:bidi w:val="0"/>
              <w:spacing w:lineRule="auto" w:line="288" w:before="0" w:after="0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Corpsdetexte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5441950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6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5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8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4 – Introduction : contexte du projet, résumé exécutif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 xml:space="preserve">Dans le corps de l’explication, mettre des captures d ‘écran et rentrer dans le détail des outils utilisés APRÈS : 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Pourquoi est-ce que l’on utilise une méthodologie en DevOps ?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Ancienne méthode en Silo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&gt; image de cycle en « V »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 Les équipes étaitent div en silos de comp où ils y a avait d’un coté les dev (production du code) et de l’autre côté, les Ops (déployemennt du code) propre à un une méthodologie de cycle en « V »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Vers le début du 21ème siècle, le manifeste Agile a été rédigé pour élaborer une nouvelle manière de travailler dans le developpement web, dont voici les 4 grands piliers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- 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De ces piliers découlent 12 principes sous-jacents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Ce qui a donné lieu, la méthode de cycles itératifs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&gt; schéma  de cycles itératifs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Avec la démocratisation d’Internet (arrivée de Google en 2003) et la multiplication des données consommées, de nouveaux standards industriels sont apparues, notamment le SRE</w:t>
            </w: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(</w:t>
            </w:r>
            <w:r>
              <w:rPr>
                <w:rFonts w:ascii="sans-serif" w:hAnsi="sans-serif"/>
                <w:b/>
                <w:bCs w:val="false"/>
                <w:i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Site Reliability Engineering</w:t>
            </w: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) dont les principaux objectifs sont de créer des systèmes logiciels évolutifs et fiables.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Avec le DevOps, les développeurs et les Operatifs (« Ops ») se sont rapprochés pour (...)  colaborer ensemble.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Automatisation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Cloud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IasS (« Infrastructure As a Service ») ; pour le projet, j’ai utilisé l’IasS « Néon » pour le stockage des données en ligne.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etc,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&gt; Pour choisir les outils de devOps, j’ai comparé les différentes techno existantes sur le marché, voici une liste argumentée des outils et de la raison de leur choix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Kanban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Gest (pour les tests)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Docker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Linter (voir la veille techno que j’ai faite)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Git ()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GitHub (avec « Action » et le fichier yalm)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etc.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Les enjeux du DevOps d’aujourd’hui est d’assurer la qualité et le suivi du code et de l’application dans un environnement multi-contributeurs,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Pour cela, il faut configurer le dépôt gitHub, des règles de Pull Request et des conventions de nommage (vérifiés par EsLint) qui sont les suivantes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CamelCase pour (,,,)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- KebabCase pour les URL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- 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Pour s’assurer de la qualité du code, il faut testerson application avec 1) des tests unitaires et 2) des tests e2e.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Voici quelques exemples de tests unitaires que j’ai effectués (avec Gest)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&gt; Code coverage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Pour le build de l’application, 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Pour assurer le déploiement de l’application, il a fallu mettre créer des images, c’est-à-dire (,,,) à l’aide de l’outil Docker pour (...)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Puis déposer ses images (une pour le backend et une pour le frontend) dans un répertoire sur la plateforme DockerHub (pareillement que le code source sur gitHub).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Le DevOps comprend aussi l’intégration continue (CI) avec l’automatisation du linter, des tests (+ code coverage) et la création / dépot automatisées des images sur gitHub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&gt; Schéma d’intégration continue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Par convention, beaucoup d’outils d’intégration continuent utilise des fichiers yalm (sur gitHub Action).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Or, le devOps n’est pas qu’une chaine d’outils automatisées, mais aussi des habitudes de communications entre les membres d’une équipe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Parler de :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- Kanban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- Code Review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- etc,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rFonts w:ascii="sans-serif" w:hAnsi="sans-serif"/>
                <w:i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pPr>
            <w:r>
              <w:rPr>
                <w:rFonts w:ascii="sans-serif" w:hAnsi="sans-serif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color w:val="202122"/>
                <w:spacing w:val="0"/>
                <w:sz w:val="22"/>
                <w:szCs w:val="22"/>
              </w:rPr>
              <w:t>______</w:t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A partir des tickets définis sur Kanban, j’ai créé des branches de fonctionnalité à partir de la branche de développement pour travailler, et valider (via des pull requests) des petits ensembles logiques de code.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Pour pourvoir revenir facilement en arrière lorsqu’un bug survient, il est préférable d’avoir un historique de sauvegardes en faisant concrètement des commits (nommés de façon explicite) régulièrement à chaque fois que l’on rajoute un bout de code fonctionnel et cohérent ;  pour m’y faire penser, j’ai lancé un timmer en arrière-plan qui émet un « bip » tous les 15 minutes.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Le site gitmoji.dev m’a permit d’illustrer le nommage de mes commit de façon visuelle.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Voici la procédure que j’ai appliquée pour envoyer une branche de fonctionnalité sur gitHub afin d’effectuer la validation collective :</w:t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</w:tbl>
    <w:p>
      <w:pPr>
        <w:pStyle w:val="Titre2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5441950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8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5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9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5 – Partie 1 : Compréhension du besoin et traduction technique de la réponse apportée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i/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tabs>
          <w:tab w:val="clear" w:pos="720"/>
          <w:tab w:val="right" w:pos="9071" w:leader="none"/>
        </w:tabs>
        <w:spacing w:lineRule="auto" w:line="240" w:before="200" w:after="200"/>
        <w:ind w:left="0" w:hanging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5441950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10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5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7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r>
              <w:rPr/>
              <w:t>6 – Partie 2 : Enjeux de la mise en œuvre du projet : justification des choix et arbitrage réalisés, problèmes rencontrés et solutions apportées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5441950</wp:posOffset>
                </wp:positionH>
                <wp:positionV relativeFrom="paragraph">
                  <wp:posOffset>9743440</wp:posOffset>
                </wp:positionV>
                <wp:extent cx="400050" cy="501650"/>
                <wp:effectExtent l="0" t="0" r="0" b="0"/>
                <wp:wrapNone/>
                <wp:docPr id="1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5pt;margin-top:767.2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10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bookmarkStart w:id="3" w:name="_heading=h.2s8eyo1"/>
            <w:bookmarkEnd w:id="3"/>
            <w:r>
              <w:rPr/>
              <w:t>7 – Partie 3 : bilan de projet et améliorations envisagées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</w:r>
      <w:r>
        <w:br w:type="page"/>
      </w:r>
    </w:p>
    <w:p>
      <w:pPr>
        <w:pStyle w:val="LO-normal"/>
        <w:spacing w:lineRule="auto" w:line="240" w:before="0" w:after="0"/>
        <w:rPr>
          <w:color w:val="404040"/>
        </w:rPr>
      </w:pPr>
      <w:r>
        <w:rPr>
          <w:color w:val="404040"/>
        </w:rP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5441950</wp:posOffset>
                </wp:positionH>
                <wp:positionV relativeFrom="paragraph">
                  <wp:posOffset>9726930</wp:posOffset>
                </wp:positionV>
                <wp:extent cx="400050" cy="501650"/>
                <wp:effectExtent l="0" t="0" r="0" b="0"/>
                <wp:wrapNone/>
                <wp:docPr id="1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9960" cy="5014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88" w:before="0" w:after="0"/>
                              <w:ind w:left="0" w:right="-58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5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8.5pt;margin-top:765.9pt;width:31.45pt;height:39.45pt;mso-wrap-style:none;v-text-anchor:middle;rotation:90" type="_x0000_t1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88" w:before="0" w:after="0"/>
                        <w:ind w:left="0" w:right="-58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Style w:val="Table12"/>
        <w:tblW w:w="978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82"/>
      </w:tblGrid>
      <w:tr>
        <w:trPr/>
        <w:tc>
          <w:tcPr>
            <w:tcW w:w="9782" w:type="dxa"/>
            <w:tcBorders/>
            <w:shd w:fill="D60093" w:val="clear"/>
          </w:tcPr>
          <w:p>
            <w:pPr>
              <w:pStyle w:val="Titre1"/>
              <w:widowControl w:val="false"/>
              <w:rPr/>
            </w:pPr>
            <w:bookmarkStart w:id="4" w:name="_heading=h.3rdcrjn"/>
            <w:bookmarkEnd w:id="4"/>
            <w:r>
              <w:rPr/>
              <w:t xml:space="preserve">8 - Conclusions : apprentissages, perspectives pour le projet professionnel envisagé 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bottom w:val="single" w:sz="18" w:space="0" w:color="D60093"/>
            </w:tcBorders>
          </w:tcPr>
          <w:p>
            <w:pPr>
              <w:pStyle w:val="LO-normal"/>
              <w:widowControl w:val="false"/>
              <w:spacing w:lineRule="auto" w:line="240" w:before="0" w:after="0"/>
              <w:jc w:val="center"/>
              <w:rPr>
                <w:b/>
                <w:color w:val="FFFFFF"/>
                <w:sz w:val="2"/>
                <w:szCs w:val="2"/>
              </w:rPr>
            </w:pPr>
            <w:r>
              <w:rPr>
                <w:b/>
                <w:color w:val="FFFFFF"/>
                <w:sz w:val="2"/>
                <w:szCs w:val="2"/>
              </w:rPr>
            </w:r>
          </w:p>
        </w:tc>
      </w:tr>
      <w:tr>
        <w:trPr>
          <w:trHeight w:val="780" w:hRule="atLeast"/>
        </w:trPr>
        <w:tc>
          <w:tcPr>
            <w:tcW w:w="9782" w:type="dxa"/>
            <w:tcBorders>
              <w:top w:val="single" w:sz="18" w:space="0" w:color="D60093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  <w:p>
            <w:pPr>
              <w:pStyle w:val="LO-normal"/>
              <w:widowControl w:val="false"/>
              <w:tabs>
                <w:tab w:val="clear" w:pos="720"/>
                <w:tab w:val="right" w:pos="9071" w:leader="none"/>
              </w:tabs>
              <w:spacing w:lineRule="auto" w:line="240" w:before="200" w:after="200"/>
              <w:ind w:left="0" w:hanging="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</w:tbl>
    <w:p>
      <w:pPr>
        <w:pStyle w:val="LO-normal"/>
        <w:spacing w:lineRule="auto" w:line="240" w:before="0" w:after="0"/>
        <w:rPr>
          <w:color w:val="40404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0" w:top="1417" w:footer="72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Roboto Condensed">
    <w:altName w:val="sans-serif"/>
    <w:charset w:val="00"/>
    <w:family w:val="roman"/>
    <w:pitch w:val="variable"/>
  </w:font>
  <w:font w:name="Roboto Condensed">
    <w:altName w:val="sans-serif"/>
    <w:charset w:val="00"/>
    <w:family w:val="auto"/>
    <w:pitch w:val="default"/>
  </w:font>
  <w:font w:name="sans-serif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center" w:pos="8364" w:leader="none"/>
      </w:tabs>
      <w:spacing w:lineRule="auto" w:line="240" w:before="0" w:after="0"/>
      <w:ind w:left="-426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7F7F7F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b/>
        <w:color w:val="7F7F7F"/>
        <w:sz w:val="20"/>
        <w:szCs w:val="20"/>
      </w:rPr>
      <w:t xml:space="preserve"> </w:t>
    </w:r>
    <w:r>
      <mc:AlternateContent>
        <mc:Choice Requires="wps">
          <w:drawing>
            <wp:anchor behindDoc="1" distT="0" distB="95250" distL="78740" distR="141605" simplePos="0" locked="0" layoutInCell="0" allowOverlap="1" relativeHeight="33">
              <wp:simplePos x="0" y="0"/>
              <wp:positionH relativeFrom="column">
                <wp:posOffset>5429250</wp:posOffset>
              </wp:positionH>
              <wp:positionV relativeFrom="paragraph">
                <wp:posOffset>9730740</wp:posOffset>
              </wp:positionV>
              <wp:extent cx="400050" cy="501650"/>
              <wp:effectExtent l="0" t="0" r="0" b="0"/>
              <wp:wrapSquare wrapText="bothSides"/>
              <wp:docPr id="16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99960" cy="5014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88" w:before="0" w:after="0"/>
                            <w:ind w:left="0" w:right="-58" w:hanging="0"/>
                            <w:jc w:val="center"/>
                            <w:rPr/>
                          </w:pPr>
                          <w:r>
                            <w:rPr>
                              <w:rFonts w:eastAsia="Cambria" w:cs="Cambria" w:ascii="Cambria" w:hAnsi="Cambria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40404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PAGE   \* MERGEFORMAT1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Shape 4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f" o:allowincell="f" style="position:absolute;margin-left:427.5pt;margin-top:766.2pt;width:31.45pt;height:39.45pt;mso-wrap-style:square;v-text-anchor:middle;rotation:90" type="_x0000_t1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88" w:before="0" w:after="0"/>
                      <w:ind w:left="0" w:right="-58" w:hanging="0"/>
                      <w:jc w:val="center"/>
                      <w:rPr/>
                    </w:pPr>
                    <w:r>
                      <w:rPr>
                        <w:rFonts w:eastAsia="Cambria" w:cs="Cambria" w:ascii="Cambria" w:hAnsi="Cambria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404040"/>
                        <w:position w:val="0"/>
                        <w:sz w:val="28"/>
                        <w:sz w:val="28"/>
                        <w:vertAlign w:val="baseline"/>
                      </w:rPr>
                      <w:t>PAGE   \* MERGEFORMAT1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color w:val="7F7F7F"/>
        <w:sz w:val="18"/>
        <w:szCs w:val="18"/>
      </w:rPr>
      <w:t>Titre Professionnel Développeur.se logiciel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510"/>
      <w:ind w:left="9071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ind w:left="0" w:hanging="0"/>
      <w:rPr/>
    </w:pPr>
    <w:r>
      <w:rPr/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before="0" w:after="200"/>
      <w:ind w:left="0" w:hanging="0"/>
      <w:rPr>
        <w:color w:val="999999"/>
        <w:position w:val="0"/>
        <w:sz w:val="22"/>
        <w:sz w:val="22"/>
        <w:vertAlign w:val="baseline"/>
      </w:rPr>
    </w:pPr>
    <w:r>
      <w:rPr>
        <w:color w:val="999999"/>
      </w:rPr>
      <w:t>Prénom Nom</w:t>
      <w:tab/>
      <w:tab/>
      <w:t>Dossier Projet_Prénom Nom_Date.pdf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-normal"/>
    <w:next w:val="LO-normal"/>
    <w:qFormat/>
    <w:pPr>
      <w:keepNext w:val="true"/>
      <w:keepLines/>
      <w:spacing w:lineRule="auto" w:line="240" w:before="0" w:after="0"/>
      <w:jc w:val="center"/>
    </w:pPr>
    <w:rPr>
      <w:b/>
      <w:smallCaps/>
      <w:color w:val="FFFFFF"/>
      <w:sz w:val="40"/>
      <w:szCs w:val="40"/>
    </w:rPr>
  </w:style>
  <w:style w:type="paragraph" w:styleId="Titre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enInternet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-titr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En-tteetpieddepage"/>
    <w:pPr/>
    <w:rPr/>
  </w:style>
  <w:style w:type="paragraph" w:styleId="Pieddepage">
    <w:name w:val="Footer"/>
    <w:basedOn w:val="En-tteetpieddepage"/>
    <w:pPr/>
    <w:rPr/>
  </w:style>
  <w:style w:type="paragraph" w:styleId="Contenudecadre">
    <w:name w:val="Contenu de cadre"/>
    <w:basedOn w:val="Normal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DL8EcRDOoP1ER7uShlaVeLNK6PQ==">CgMxLjAyCGguZ2pkZ3hzMgloLjMwajB6bGwyCWguMWZvYjl0ZTIJaC4zem55c2g3MgloLjJldDkycDAyCGgudHlqY3d0MgloLjNkeTZ2a20yCWguMXQzaDVzZjIJaC40ZDM0b2c4MgloLjJzOGV5bzEyCWguMTdkcDh2dTIJaC4zcmRjcmpuOAByITFxZHpOV2hRZTB3NEtOREZWbVNoZEV0aWM3Yk81UkpjSQ==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LibreOffice/7.5.3.2$Windows_X86_64 LibreOffice_project/9f56dff12ba03b9acd7730a5a481eea045e468f3</Application>
  <AppVersion>15.0000</AppVersion>
  <Pages>16</Pages>
  <Words>1341</Words>
  <Characters>6950</Characters>
  <CharactersWithSpaces>8151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2024-02-08T14:24:23Z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