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BENOIT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Ludovic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Cliquez ici pour entrer l’intitulé du titre professionnel visé.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04040"/>
          <w:sz w:val="28"/>
          <w:szCs w:val="28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</w:tc>
        <w:tc>
          <w:tcPr>
            <w:tcBorders>
              <w:left w:color="000000" w:space="0" w:sz="0" w:val="nil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53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</w:tc>
      </w:tr>
      <w:tr>
        <w:tc>
          <w:tcPr>
            <w:gridSpan w:val="4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4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8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Titres professionnels délivrés par le ministère du Travail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73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79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8D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A1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B5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E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0E6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E7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EA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0EF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F0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right" w:pos="9072"/>
              </w:tabs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FC">
            <w:pPr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0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3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2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2E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3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14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4A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5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165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77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2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9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B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A4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AD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4820"/>
        <w:gridCol w:w="2693"/>
        <w:tblGridChange w:id="0">
          <w:tblGrid>
            <w:gridCol w:w="2269"/>
            <w:gridCol w:w="4820"/>
            <w:gridCol w:w="2693"/>
          </w:tblGrid>
        </w:tblGridChange>
      </w:tblGrid>
      <w:t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1C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tabs>
                <w:tab w:val="left" w:pos="850"/>
              </w:tabs>
              <w:ind w:right="175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1F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139700</wp:posOffset>
                </wp:positionV>
                <wp:extent cx="3638550" cy="4127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139700</wp:posOffset>
                </wp:positionV>
                <wp:extent cx="3638550" cy="4127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550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6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1F8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317500</wp:posOffset>
                </wp:positionV>
                <wp:extent cx="2216150" cy="14287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317500</wp:posOffset>
                </wp:positionV>
                <wp:extent cx="2216150" cy="142875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50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317500</wp:posOffset>
                </wp:positionV>
                <wp:extent cx="2978150" cy="4127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317500</wp:posOffset>
                </wp:positionV>
                <wp:extent cx="2978150" cy="412750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8150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A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FB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1FC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1FE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07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08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20A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2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22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 w:orient="portrait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01/06/2016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Page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51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10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trHeight w:val="280" w:hRule="atLeast"/>
      </w:trPr>
      <w:tc>
        <w:tcPr>
          <w:vMerge w:val="restart"/>
        </w:tcPr>
        <w:p w:rsidR="00000000" w:rsidDel="00000000" w:rsidP="00000000" w:rsidRDefault="00000000" w:rsidRPr="00000000" w14:paraId="00000227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12" name="image2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8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9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A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vMerge w:val="continue"/>
        </w:tcPr>
        <w:p w:rsidR="00000000" w:rsidDel="00000000" w:rsidP="00000000" w:rsidRDefault="00000000" w:rsidRPr="00000000" w14:paraId="000002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22C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2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23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80" w:hRule="atLeast"/>
      </w:trPr>
      <w:tc>
        <w:tcPr>
          <w:vMerge w:val="continue"/>
        </w:tcPr>
        <w:p w:rsidR="00000000" w:rsidDel="00000000" w:rsidP="00000000" w:rsidRDefault="00000000" w:rsidRPr="00000000" w14:paraId="000002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34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35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236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2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rFonts w:ascii="Arial" w:cs="Arial" w:eastAsia="Arial" w:hAnsi="Arial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ravail-emploi.gouv.fr/titres-professionne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1ln+677c2volPttb/Qql64g3Hw==">AMUW2mWh+mKZ5W3lLq0Zxheh2i1uNJjrXhuRBPkT/k9rzDpU85YVXQUeyZnAnzUZJth48rpFhPANiT6gB+gv3zurxBIuGcGrtc4PuXZnt2RLvvj7HnbifOXMidrPHlRyWVu5VuoAojTY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