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10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"/>
        <w:spacing w:lineRule="auto" w:line="240" w:beforeAutospacing="1" w:after="0"/>
        <w:ind w:right="993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Realiza un programa C en donde un hijo envíe 3 señales SIGUSR1 a su padre y después envíe una señal SIGKILL para que el proceso padre termine.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ind w:left="708" w:hanging="0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609850" cy="7334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Actividad10.c</w:t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zCs w:val="20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zCs w:val="20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zCs w:val="20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&lt;signal.h&gt;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Función para manejar la señal SIGUSR1 en el padre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sigusr1_handler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SIGUSR1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"Padre recibe señal...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Registra el manejador de señal para SIGUSR1 en el padre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SIGUSR1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sigusr1_handler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 un proceso hijo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 al crear el proceso hijo"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child_pid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Este es el proceso hijo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un segundo para asegurarse de que el padre esté listo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Envía tres señales SIGUSR1 al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SIGUSR1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Envía una señal SIGKILL para terminar el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getppid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SIGKILL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Este es el proceso padre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Espera a recibir señales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pause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364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10 (SINCRONIZACION)_V5.docx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4E63-C452-4BCF-958E-74634871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321</Words>
  <Characters>1662</Characters>
  <CharactersWithSpaces>1921</CharactersWithSpaces>
  <Paragraphs>58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2022-08-01T12:30:00Z</dcterms:created>
  <dc:creator>Ciudad Jardín</dc:creator>
  <dc:description/>
  <dc:language>es-ES</dc:language>
  <cp:lastModifiedBy/>
  <dcterms:modified xsi:type="dcterms:W3CDTF">2024-11-20T12:27:23Z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