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0474" w14:textId="27AA6782" w:rsidR="00312DBF" w:rsidRPr="00312DBF" w:rsidRDefault="00312DBF" w:rsidP="00312DBF">
      <w:r w:rsidRPr="00312DBF">
        <w:t xml:space="preserve">A </w:t>
      </w:r>
      <w:r w:rsidRPr="00312DBF">
        <w:rPr>
          <w:b/>
          <w:bCs/>
        </w:rPr>
        <w:t>process window</w:t>
      </w:r>
      <w:r w:rsidRPr="00312DBF">
        <w:t xml:space="preserve"> in photomask fabrication is the multidimensional envelope of process parameters—such as </w:t>
      </w:r>
      <w:r w:rsidRPr="00312DBF">
        <w:rPr>
          <w:b/>
          <w:bCs/>
        </w:rPr>
        <w:t>e-beam write dose &amp; focus, resist pre-bake/post-exposure bake (PEB) temperature, develop time, etch chemistry (Cl₂/O₂ ratio), plasma power, and chamber pressure</w:t>
      </w:r>
      <w:r w:rsidRPr="00312DBF">
        <w:t>—within which the resulting pattern meets stringent specifications for:</w:t>
      </w:r>
    </w:p>
    <w:p w14:paraId="67BB93A8" w14:textId="77777777" w:rsidR="00312DBF" w:rsidRPr="00312DBF" w:rsidRDefault="00312DBF" w:rsidP="00312DBF">
      <w:pPr>
        <w:numPr>
          <w:ilvl w:val="0"/>
          <w:numId w:val="1"/>
        </w:numPr>
      </w:pPr>
      <w:r w:rsidRPr="00312DBF">
        <w:rPr>
          <w:b/>
          <w:bCs/>
        </w:rPr>
        <w:t>Critical Dimension Uniformity (CDU)</w:t>
      </w:r>
      <w:r w:rsidRPr="00312DBF">
        <w:t xml:space="preserve"> (e.g., ≤1.0 nm 3σ for advanced EUV masks),</w:t>
      </w:r>
    </w:p>
    <w:p w14:paraId="221C72BE" w14:textId="77777777" w:rsidR="00312DBF" w:rsidRPr="00312DBF" w:rsidRDefault="00312DBF" w:rsidP="00312DBF">
      <w:pPr>
        <w:numPr>
          <w:ilvl w:val="0"/>
          <w:numId w:val="1"/>
        </w:numPr>
      </w:pPr>
      <w:r w:rsidRPr="00312DBF">
        <w:rPr>
          <w:b/>
          <w:bCs/>
        </w:rPr>
        <w:t>Pattern placement accuracy</w:t>
      </w:r>
      <w:r w:rsidRPr="00312DBF">
        <w:t>,</w:t>
      </w:r>
    </w:p>
    <w:p w14:paraId="386AAD47" w14:textId="77777777" w:rsidR="00312DBF" w:rsidRPr="00312DBF" w:rsidRDefault="00312DBF" w:rsidP="00312DBF">
      <w:pPr>
        <w:numPr>
          <w:ilvl w:val="0"/>
          <w:numId w:val="1"/>
        </w:numPr>
      </w:pPr>
      <w:r w:rsidRPr="00312DBF">
        <w:rPr>
          <w:b/>
          <w:bCs/>
        </w:rPr>
        <w:t>Sidewall profile (anisotropy, footing, undercut)</w:t>
      </w:r>
      <w:r w:rsidRPr="00312DBF">
        <w:t>,</w:t>
      </w:r>
    </w:p>
    <w:p w14:paraId="6F8656DB" w14:textId="77777777" w:rsidR="00312DBF" w:rsidRPr="00312DBF" w:rsidRDefault="00312DBF" w:rsidP="00312DBF">
      <w:pPr>
        <w:numPr>
          <w:ilvl w:val="0"/>
          <w:numId w:val="1"/>
        </w:numPr>
      </w:pPr>
      <w:r w:rsidRPr="00312DBF">
        <w:rPr>
          <w:b/>
          <w:bCs/>
        </w:rPr>
        <w:t>Defect density</w:t>
      </w:r>
      <w:r w:rsidRPr="00312DBF">
        <w:t xml:space="preserve"> (bridges, pinholes, residues),</w:t>
      </w:r>
    </w:p>
    <w:p w14:paraId="0FBEF624" w14:textId="77777777" w:rsidR="00312DBF" w:rsidRPr="00312DBF" w:rsidRDefault="00312DBF" w:rsidP="00312DBF">
      <w:pPr>
        <w:numPr>
          <w:ilvl w:val="0"/>
          <w:numId w:val="1"/>
        </w:numPr>
      </w:pPr>
      <w:r w:rsidRPr="00312DBF">
        <w:rPr>
          <w:b/>
          <w:bCs/>
        </w:rPr>
        <w:t>Line edge roughness (LER)</w:t>
      </w:r>
      <w:r w:rsidRPr="00312DBF">
        <w:t>.</w:t>
      </w:r>
    </w:p>
    <w:p w14:paraId="2BF569D1" w14:textId="77777777" w:rsidR="00312DBF" w:rsidRPr="00312DBF" w:rsidRDefault="00312DBF" w:rsidP="00312DBF">
      <w:r w:rsidRPr="00312DBF">
        <w:t xml:space="preserve">This window is often visualized using </w:t>
      </w:r>
      <w:r w:rsidRPr="00312DBF">
        <w:rPr>
          <w:b/>
          <w:bCs/>
        </w:rPr>
        <w:t>Focus-Exposure Matrix (FEM)</w:t>
      </w:r>
      <w:r w:rsidRPr="00312DBF">
        <w:t xml:space="preserve"> plots (for optical </w:t>
      </w:r>
      <w:proofErr w:type="spellStart"/>
      <w:r w:rsidRPr="00312DBF">
        <w:t>litho</w:t>
      </w:r>
      <w:proofErr w:type="spellEnd"/>
      <w:r w:rsidRPr="00312DBF">
        <w:t xml:space="preserve"> steps) or </w:t>
      </w:r>
      <w:r w:rsidRPr="00312DBF">
        <w:rPr>
          <w:b/>
          <w:bCs/>
        </w:rPr>
        <w:t>Dose-Current/Defocus maps</w:t>
      </w:r>
      <w:r w:rsidRPr="00312DBF">
        <w:t xml:space="preserve"> (for e-beam writing). The </w:t>
      </w:r>
      <w:r w:rsidRPr="00312DBF">
        <w:rPr>
          <w:b/>
          <w:bCs/>
        </w:rPr>
        <w:t>overlap region</w:t>
      </w:r>
      <w:r w:rsidRPr="00312DBF">
        <w:t xml:space="preserve"> where all specs are simultaneously satisfied defines the </w:t>
      </w:r>
      <w:r w:rsidRPr="00312DBF">
        <w:rPr>
          <w:b/>
          <w:bCs/>
        </w:rPr>
        <w:t>usable operating space</w:t>
      </w:r>
      <w:r w:rsidRPr="00312DBF">
        <w:t>.</w:t>
      </w:r>
    </w:p>
    <w:p w14:paraId="00E94D3F" w14:textId="77777777" w:rsidR="00312DBF" w:rsidRDefault="00312DBF" w:rsidP="00312DBF">
      <w:r w:rsidRPr="00312DBF">
        <w:t xml:space="preserve">A </w:t>
      </w:r>
      <w:r w:rsidRPr="00312DBF">
        <w:rPr>
          <w:b/>
          <w:bCs/>
        </w:rPr>
        <w:t>wide, robust process window</w:t>
      </w:r>
      <w:r w:rsidRPr="00312DBF">
        <w:t xml:space="preserve"> enables high yield despite normal tool drift, environmental fluctuations, and material lot-to-lot variation—critical for cost-effective, scalable production.</w:t>
      </w:r>
      <w:r w:rsidRPr="00312DBF">
        <w:br/>
        <w:t xml:space="preserve">Conversely, a </w:t>
      </w:r>
      <w:r w:rsidRPr="00312DBF">
        <w:rPr>
          <w:b/>
          <w:bCs/>
        </w:rPr>
        <w:t>narrow process window</w:t>
      </w:r>
      <w:r w:rsidRPr="00312DBF">
        <w:t xml:space="preserve"> indicates high sensitivity to parameter shifts, demanding </w:t>
      </w:r>
      <w:r w:rsidRPr="00312DBF">
        <w:rPr>
          <w:b/>
          <w:bCs/>
        </w:rPr>
        <w:t>extreme control</w:t>
      </w:r>
      <w:r w:rsidRPr="00312DBF">
        <w:t xml:space="preserve"> (e.g., ±0.5°C bake stability, sub-nm CD metrology feedback), increasing risk of scrap, rework, and cycle time delays.</w:t>
      </w:r>
    </w:p>
    <w:p w14:paraId="338FBC3B" w14:textId="77777777" w:rsidR="00312DBF" w:rsidRDefault="00312DBF" w:rsidP="00312DBF"/>
    <w:p w14:paraId="72D85BC8" w14:textId="77777777" w:rsidR="00312DBF" w:rsidRPr="00312DBF" w:rsidRDefault="00312DBF" w:rsidP="00312DBF">
      <w:r w:rsidRPr="00312DBF">
        <w:rPr>
          <w:b/>
          <w:bCs/>
        </w:rPr>
        <w:t>Gradual degradation of consumable components</w:t>
      </w:r>
      <w:r w:rsidRPr="00312DBF">
        <w:t xml:space="preserve">—such as </w:t>
      </w:r>
      <w:r w:rsidRPr="00312DBF">
        <w:rPr>
          <w:b/>
          <w:bCs/>
        </w:rPr>
        <w:t>O-rings, gas filters, chamber liners, showerheads, and resist dispense nozzles</w:t>
      </w:r>
      <w:r w:rsidRPr="00312DBF">
        <w:t xml:space="preserve">—is a leading cause of </w:t>
      </w:r>
      <w:r w:rsidRPr="00312DBF">
        <w:rPr>
          <w:b/>
          <w:bCs/>
        </w:rPr>
        <w:t>subtle process drift</w:t>
      </w:r>
      <w:r w:rsidRPr="00312DBF">
        <w:t xml:space="preserve"> in photomask fabrication. Even minor wear can:</w:t>
      </w:r>
    </w:p>
    <w:p w14:paraId="7145F3DA" w14:textId="77777777" w:rsidR="00312DBF" w:rsidRPr="00312DBF" w:rsidRDefault="00312DBF" w:rsidP="00312DBF">
      <w:pPr>
        <w:numPr>
          <w:ilvl w:val="0"/>
          <w:numId w:val="2"/>
        </w:numPr>
      </w:pPr>
      <w:r w:rsidRPr="00312DBF">
        <w:t xml:space="preserve">Introduce </w:t>
      </w:r>
      <w:r w:rsidRPr="00312DBF">
        <w:rPr>
          <w:b/>
          <w:bCs/>
        </w:rPr>
        <w:t>metallic or particulate contamination</w:t>
      </w:r>
      <w:r w:rsidRPr="00312DBF">
        <w:t xml:space="preserve"> (e.g., from eroded O-rings or sputtered chamber walls),</w:t>
      </w:r>
    </w:p>
    <w:p w14:paraId="23A8D720" w14:textId="77777777" w:rsidR="00312DBF" w:rsidRPr="00312DBF" w:rsidRDefault="00312DBF" w:rsidP="00312DBF">
      <w:pPr>
        <w:numPr>
          <w:ilvl w:val="0"/>
          <w:numId w:val="2"/>
        </w:numPr>
      </w:pPr>
      <w:r w:rsidRPr="00312DBF">
        <w:t xml:space="preserve">Alter </w:t>
      </w:r>
      <w:r w:rsidRPr="00312DBF">
        <w:rPr>
          <w:b/>
          <w:bCs/>
        </w:rPr>
        <w:t>gas flow dynamics or plasma uniformity</w:t>
      </w:r>
      <w:r w:rsidRPr="00312DBF">
        <w:t xml:space="preserve"> (e.g., clogged filters or warped liners),</w:t>
      </w:r>
    </w:p>
    <w:p w14:paraId="1F51B3E1" w14:textId="77777777" w:rsidR="00312DBF" w:rsidRPr="00312DBF" w:rsidRDefault="00312DBF" w:rsidP="00312DBF">
      <w:pPr>
        <w:numPr>
          <w:ilvl w:val="0"/>
          <w:numId w:val="2"/>
        </w:numPr>
      </w:pPr>
      <w:proofErr w:type="gramStart"/>
      <w:r w:rsidRPr="00312DBF">
        <w:t>Shift</w:t>
      </w:r>
      <w:proofErr w:type="gramEnd"/>
      <w:r w:rsidRPr="00312DBF">
        <w:t xml:space="preserve"> </w:t>
      </w:r>
      <w:r w:rsidRPr="00312DBF">
        <w:rPr>
          <w:b/>
          <w:bCs/>
        </w:rPr>
        <w:t>etch rates or CD bias</w:t>
      </w:r>
      <w:r w:rsidRPr="00312DBF">
        <w:t xml:space="preserve"> due to changing surface chemistry or thermal conductivity.</w:t>
      </w:r>
    </w:p>
    <w:p w14:paraId="1C6E7CA2" w14:textId="77777777" w:rsidR="00312DBF" w:rsidRPr="00312DBF" w:rsidRDefault="00312DBF" w:rsidP="00312DBF">
      <w:r w:rsidRPr="00312DBF">
        <w:t xml:space="preserve">To ensure long-term process stability and prevent yield excursions, implement a </w:t>
      </w:r>
      <w:r w:rsidRPr="00312DBF">
        <w:rPr>
          <w:b/>
          <w:bCs/>
        </w:rPr>
        <w:t>data-driven, preventive replacement strategy</w:t>
      </w:r>
      <w:r w:rsidRPr="00312DBF">
        <w:t xml:space="preserve"> based on:</w:t>
      </w:r>
    </w:p>
    <w:p w14:paraId="55B007AD" w14:textId="77777777" w:rsidR="00312DBF" w:rsidRPr="00312DBF" w:rsidRDefault="00312DBF" w:rsidP="00312DBF">
      <w:pPr>
        <w:numPr>
          <w:ilvl w:val="0"/>
          <w:numId w:val="3"/>
        </w:numPr>
      </w:pPr>
      <w:r w:rsidRPr="00312DBF">
        <w:rPr>
          <w:b/>
          <w:bCs/>
        </w:rPr>
        <w:t>Tool OEM recommendations</w:t>
      </w:r>
      <w:r w:rsidRPr="00312DBF">
        <w:t xml:space="preserve"> (baseline),</w:t>
      </w:r>
    </w:p>
    <w:p w14:paraId="5D2353DC" w14:textId="77777777" w:rsidR="00312DBF" w:rsidRPr="00312DBF" w:rsidRDefault="00312DBF" w:rsidP="00312DBF">
      <w:pPr>
        <w:numPr>
          <w:ilvl w:val="0"/>
          <w:numId w:val="3"/>
        </w:numPr>
      </w:pPr>
      <w:r w:rsidRPr="00312DBF">
        <w:rPr>
          <w:b/>
          <w:bCs/>
        </w:rPr>
        <w:lastRenderedPageBreak/>
        <w:t>In-situ sensor trends</w:t>
      </w:r>
      <w:r w:rsidRPr="00312DBF">
        <w:t xml:space="preserve"> (e.g., RF impedance, pressure decay, particle counts),</w:t>
      </w:r>
    </w:p>
    <w:p w14:paraId="2F54FADC" w14:textId="77777777" w:rsidR="00312DBF" w:rsidRPr="00312DBF" w:rsidRDefault="00312DBF" w:rsidP="00312DBF">
      <w:pPr>
        <w:numPr>
          <w:ilvl w:val="0"/>
          <w:numId w:val="3"/>
        </w:numPr>
      </w:pPr>
      <w:r w:rsidRPr="00312DBF">
        <w:rPr>
          <w:b/>
          <w:bCs/>
        </w:rPr>
        <w:t>Metrology correlation</w:t>
      </w:r>
      <w:r w:rsidRPr="00312DBF">
        <w:t xml:space="preserve"> (e.g., CD drift or defect spikes linked to consumable age),</w:t>
      </w:r>
    </w:p>
    <w:p w14:paraId="6A289EE3" w14:textId="77777777" w:rsidR="00312DBF" w:rsidRPr="00312DBF" w:rsidRDefault="00312DBF" w:rsidP="00312DBF">
      <w:pPr>
        <w:numPr>
          <w:ilvl w:val="0"/>
          <w:numId w:val="3"/>
        </w:numPr>
      </w:pPr>
      <w:r w:rsidRPr="00312DBF">
        <w:rPr>
          <w:b/>
          <w:bCs/>
        </w:rPr>
        <w:t>Failure Mode and Effects Analysis (FMEA)</w:t>
      </w:r>
      <w:r w:rsidRPr="00312DBF">
        <w:t xml:space="preserve"> for high-risk components.</w:t>
      </w:r>
    </w:p>
    <w:p w14:paraId="336469EB" w14:textId="77777777" w:rsidR="00312DBF" w:rsidRPr="00312DBF" w:rsidRDefault="00312DBF" w:rsidP="00312DBF">
      <w:r w:rsidRPr="00312DBF">
        <w:rPr>
          <w:b/>
          <w:bCs/>
        </w:rPr>
        <w:t>Best Practice</w:t>
      </w:r>
      <w:r w:rsidRPr="00312DBF">
        <w:t xml:space="preserve">: Replace consumables </w:t>
      </w:r>
      <w:r w:rsidRPr="00312DBF">
        <w:rPr>
          <w:b/>
          <w:bCs/>
        </w:rPr>
        <w:t>before end-of-life failure</w:t>
      </w:r>
      <w:r w:rsidRPr="00312DBF">
        <w:t xml:space="preserve">—typically at </w:t>
      </w:r>
      <w:r w:rsidRPr="00312DBF">
        <w:rPr>
          <w:b/>
          <w:bCs/>
        </w:rPr>
        <w:t>70–80% of their empirical lifespan</w:t>
      </w:r>
      <w:r w:rsidRPr="00312DBF">
        <w:t xml:space="preserve">—to maintain the process within its validated window. Document all changes in the </w:t>
      </w:r>
      <w:r w:rsidRPr="00312DBF">
        <w:rPr>
          <w:b/>
          <w:bCs/>
        </w:rPr>
        <w:t>equipment logbook</w:t>
      </w:r>
      <w:r w:rsidRPr="00312DBF">
        <w:t xml:space="preserve"> and trigger </w:t>
      </w:r>
      <w:r w:rsidRPr="00312DBF">
        <w:rPr>
          <w:b/>
          <w:bCs/>
        </w:rPr>
        <w:t>requalification runs</w:t>
      </w:r>
      <w:r w:rsidRPr="00312DBF">
        <w:t xml:space="preserve"> (e.g., baseline CD checks) after critical replacements.</w:t>
      </w:r>
    </w:p>
    <w:p w14:paraId="03C92770" w14:textId="50B4FDFB" w:rsidR="00312DBF" w:rsidRPr="00312DBF" w:rsidRDefault="00312DBF" w:rsidP="00312DBF">
      <w:r w:rsidRPr="00312DBF">
        <w:drawing>
          <wp:inline distT="0" distB="0" distL="0" distR="0" wp14:anchorId="4A806F02" wp14:editId="76B187D8">
            <wp:extent cx="5943600" cy="2033905"/>
            <wp:effectExtent l="0" t="0" r="0" b="4445"/>
            <wp:docPr id="69800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C177" w14:textId="6715D8F1" w:rsidR="0019481F" w:rsidRPr="00312DBF" w:rsidRDefault="003647E6">
      <w:pPr>
        <w:rPr>
          <w:lang w:val="en-SG"/>
        </w:rPr>
      </w:pPr>
      <w:r w:rsidRPr="003647E6">
        <w:rPr>
          <w:lang w:val="en-SG"/>
        </w:rPr>
        <w:lastRenderedPageBreak/>
        <w:drawing>
          <wp:inline distT="0" distB="0" distL="0" distR="0" wp14:anchorId="0E5AA344" wp14:editId="2BF50D78">
            <wp:extent cx="5943600" cy="5852795"/>
            <wp:effectExtent l="0" t="0" r="0" b="0"/>
            <wp:docPr id="32684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46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2001687D" wp14:editId="71123AB4">
            <wp:extent cx="5601482" cy="7449590"/>
            <wp:effectExtent l="0" t="0" r="0" b="0"/>
            <wp:docPr id="6480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357452B0" wp14:editId="4A94E80E">
            <wp:extent cx="5649113" cy="7421011"/>
            <wp:effectExtent l="0" t="0" r="8890" b="8890"/>
            <wp:docPr id="152642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1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0D3ECCF2" wp14:editId="3D491830">
            <wp:extent cx="5649113" cy="7373379"/>
            <wp:effectExtent l="0" t="0" r="8890" b="0"/>
            <wp:docPr id="8225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6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07D5B4D3" wp14:editId="2C86BB73">
            <wp:extent cx="5515745" cy="7240010"/>
            <wp:effectExtent l="0" t="0" r="8890" b="0"/>
            <wp:docPr id="10366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52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18F24CB8" wp14:editId="2275E0C0">
            <wp:extent cx="5639587" cy="7430537"/>
            <wp:effectExtent l="0" t="0" r="0" b="0"/>
            <wp:docPr id="7947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9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2E06703E" wp14:editId="480CC0BB">
            <wp:extent cx="5658640" cy="7468642"/>
            <wp:effectExtent l="0" t="0" r="0" b="0"/>
            <wp:docPr id="15092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6244F99A" wp14:editId="0B28743F">
            <wp:extent cx="5553850" cy="7401958"/>
            <wp:effectExtent l="0" t="0" r="8890" b="8890"/>
            <wp:docPr id="9066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5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613E6378" wp14:editId="317AD760">
            <wp:extent cx="5639587" cy="7449590"/>
            <wp:effectExtent l="0" t="0" r="0" b="0"/>
            <wp:docPr id="21443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31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1E96BB75" wp14:editId="17A2321A">
            <wp:extent cx="5792008" cy="7449590"/>
            <wp:effectExtent l="0" t="0" r="0" b="0"/>
            <wp:docPr id="8810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7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4DAB70A5" wp14:editId="2828018D">
            <wp:extent cx="5943600" cy="6152515"/>
            <wp:effectExtent l="0" t="0" r="0" b="635"/>
            <wp:docPr id="17785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04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12AC6A5B" wp14:editId="7BA4F70E">
            <wp:extent cx="5943600" cy="8020685"/>
            <wp:effectExtent l="0" t="0" r="0" b="0"/>
            <wp:docPr id="9128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E6">
        <w:rPr>
          <w:lang w:val="en-SG"/>
        </w:rPr>
        <w:lastRenderedPageBreak/>
        <w:drawing>
          <wp:inline distT="0" distB="0" distL="0" distR="0" wp14:anchorId="31DA03DB" wp14:editId="3F8B6A76">
            <wp:extent cx="5943600" cy="8061960"/>
            <wp:effectExtent l="0" t="0" r="0" b="0"/>
            <wp:docPr id="16165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019BE009" wp14:editId="57F2C7CD">
            <wp:extent cx="5943600" cy="7875270"/>
            <wp:effectExtent l="0" t="0" r="0" b="0"/>
            <wp:docPr id="116433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37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54C31AB0" wp14:editId="6D38D6FB">
            <wp:extent cx="5943600" cy="8208645"/>
            <wp:effectExtent l="0" t="0" r="0" b="1905"/>
            <wp:docPr id="16175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0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2F667A6C" wp14:editId="09735B3A">
            <wp:extent cx="5933440" cy="8229600"/>
            <wp:effectExtent l="0" t="0" r="0" b="0"/>
            <wp:docPr id="7362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43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42BEAA56" wp14:editId="127804B4">
            <wp:extent cx="5943600" cy="8097520"/>
            <wp:effectExtent l="0" t="0" r="0" b="0"/>
            <wp:docPr id="114197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44A5BD4B" wp14:editId="6BDFC68D">
            <wp:extent cx="5943600" cy="8035290"/>
            <wp:effectExtent l="0" t="0" r="0" b="3810"/>
            <wp:docPr id="21024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16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7635DCE1" wp14:editId="29EE994A">
            <wp:extent cx="5943600" cy="7957185"/>
            <wp:effectExtent l="0" t="0" r="0" b="5715"/>
            <wp:docPr id="11654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8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13A69EC1" wp14:editId="45C9FB7F">
            <wp:extent cx="5943600" cy="8020050"/>
            <wp:effectExtent l="0" t="0" r="0" b="0"/>
            <wp:docPr id="274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3B4" w:rsidRPr="009D53B4">
        <w:rPr>
          <w:lang w:val="en-SG"/>
        </w:rPr>
        <w:lastRenderedPageBreak/>
        <w:drawing>
          <wp:inline distT="0" distB="0" distL="0" distR="0" wp14:anchorId="4C3091B5" wp14:editId="0732A1A1">
            <wp:extent cx="5943600" cy="7995920"/>
            <wp:effectExtent l="0" t="0" r="0" b="5080"/>
            <wp:docPr id="384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2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81F" w:rsidRPr="00312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C7B7C"/>
    <w:multiLevelType w:val="multilevel"/>
    <w:tmpl w:val="234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94D19"/>
    <w:multiLevelType w:val="multilevel"/>
    <w:tmpl w:val="0E8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06762"/>
    <w:multiLevelType w:val="multilevel"/>
    <w:tmpl w:val="C78E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364492">
    <w:abstractNumId w:val="1"/>
  </w:num>
  <w:num w:numId="2" w16cid:durableId="574319639">
    <w:abstractNumId w:val="0"/>
  </w:num>
  <w:num w:numId="3" w16cid:durableId="1186361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BF"/>
    <w:rsid w:val="0016430F"/>
    <w:rsid w:val="0019481F"/>
    <w:rsid w:val="00303697"/>
    <w:rsid w:val="00312DBF"/>
    <w:rsid w:val="003647E6"/>
    <w:rsid w:val="009D53B4"/>
    <w:rsid w:val="00BF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201F"/>
  <w15:chartTrackingRefBased/>
  <w15:docId w15:val="{C7474602-CBC5-4BB6-8228-4DC235D5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320</Words>
  <Characters>2133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HOW SHUN ZHONG</dc:creator>
  <cp:keywords/>
  <dc:description/>
  <cp:lastModifiedBy>JEREMY HOW SHUN ZHONG</cp:lastModifiedBy>
  <cp:revision>1</cp:revision>
  <dcterms:created xsi:type="dcterms:W3CDTF">2026-02-10T11:52:00Z</dcterms:created>
  <dcterms:modified xsi:type="dcterms:W3CDTF">2026-02-10T12:15:00Z</dcterms:modified>
</cp:coreProperties>
</file>