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Calibri" w:hAnsi="Calibri"/>
          <w:b/>
          <w:color w:val="000000"/>
          <w:sz w:val="26"/>
        </w:rPr>
        <w:t>UNIVERSIDAD TÉCNICA ESTATAL DE QUEVEDO</w:t>
        <w:br/>
      </w:r>
      <w:r>
        <w:rPr>
          <w:rFonts w:ascii="Calibri" w:hAnsi="Calibri"/>
          <w:color w:val="333333"/>
          <w:sz w:val="19"/>
        </w:rPr>
        <w:t>FACULTAD DE CIENCIAS PECUARIAS Y BIOLÓGICAS — LABORATORIO DE BROMATOLOGÍA</w:t>
        <w:br/>
      </w:r>
      <w:r>
        <w:rPr>
          <w:rFonts w:ascii="Calibri" w:hAnsi="Calibri"/>
          <w:b/>
          <w:color w:val="666666"/>
          <w:sz w:val="18"/>
        </w:rPr>
        <w:t>MANUAL TÉCNICO OPERATIVO Y BASE DE CONOCIMIENTO RAG (YOLO11)</w:t>
      </w:r>
    </w:p>
    <w:p>
      <w:pPr>
        <w:spacing w:before="40" w:after="160"/>
        <w:jc w:val="center"/>
      </w:pPr>
      <w:r>
        <w:rPr>
          <w:color w:val="000000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80" w:after="40"/>
        <w:jc w:val="center"/>
      </w:pPr>
      <w:r>
        <w:rPr>
          <w:rFonts w:ascii="Calibri" w:hAnsi="Calibri"/>
          <w:b/>
          <w:color w:val="000000"/>
          <w:sz w:val="28"/>
        </w:rPr>
        <w:t>EQUIPO N° 7: SISTEMA DE TRATAMIENTO, FILTRACIÓN Y DESIONIZACIÓN DE AGUA MULTIETAPA</w:t>
      </w:r>
    </w:p>
    <w:p>
      <w:pPr>
        <w:spacing w:after="160"/>
        <w:jc w:val="center"/>
      </w:pPr>
      <w:r>
        <w:rPr>
          <w:rFonts w:ascii="Calibri" w:hAnsi="Calibri"/>
          <w:color w:val="333333"/>
          <w:sz w:val="20"/>
        </w:rPr>
        <w:t>Clase YOLO11: [Sistema de Tratamiento y Desionizacion deAgua]  |  Modelo: Batería Desionizadora de 3 Etapas con Manómetros Hidráulicos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1647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_tratamiento_desionizacion_agu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7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66666"/>
          <w:sz w:val="17"/>
        </w:rPr>
        <w:t>Fotografía 1.0: Vista frontal en el Laboratorio de Bromatología — Sistema de Tratamiento, Filtración y Desionización de Agua Multietapa</w:t>
      </w: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1. Ficha de Identificación y Especificaciones Técnicas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Parámetro Instrumental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Especificación Oficial Verificada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Nombre Oficial en Laboratorio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Sistema de Tratamiento, Filtración y Desionización de Agua Multietapa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Etiqueta Roboflow / YOLO11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Sistema de Tratamiento y Desionizacion deAgua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Fabricante y Procedencia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Aquapro / Ensamblaje Industrial Especializado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Modelo y Referencia de Catálogo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Batería Desionizadora de 3 Etapas con Manómetros Hidráulicos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Ubicación en Bromatología UTEQ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Área húmeda de suministro de agua desmineralizada y reactivos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Alimentación Eléctrica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No requiere alimentación eléctrica (operación por presión hidrostática de red, 2.0 a 4.5 bar)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Requerimientos de Servicios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Acometida hidráulica de agua potable de red y conducto a tanques de almacenamiento analítico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Función Primaria Analítica</w:t>
            </w:r>
          </w:p>
        </w:tc>
        <w:tc>
          <w:tcPr>
            <w:tcW w:type="dxa" w:w="604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El sistema de tratamiento y desionización de agua produce agua desmineralizada de alta pureza mediante un proceso secuencial de retención física de partículas, adsorción química sobre carbón activado e intercambio iónico heterogéneo en lecho mixto.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2. Fundamento Analítico, Reacciones Químicas y Cálculos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Mecanismo / Etapa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Reacción Química, Principio Físico o Ecuación de Cálculo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1. Retención Catiónica (Resina Catiónica Ácida)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2 R-SO3^- H^+ + Ca^2+ (aq) ----&gt; (R-SO3)2 Ca + 2 H^+ (aq)</w:t>
              <w:br/>
              <w:t>R-SO3^- H^+ + Na^+ (aq) ----&gt; R-SO3 Na + H^+ (aq)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2. Retención Aniónica (Resina Aniónica Básica)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R-N^+(CH3)3 OH^- + Cl^- (aq) ----&gt; R-N^+(CH3)3 Cl + OH^- (aq)</w:t>
              <w:br/>
              <w:t>2 R-N^+(CH3)3 OH^- + SO4^2- (aq) ----&gt; [R-N^+(CH3)3]2 SO4 + 2 OH^- (aq)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3. Recombinación de Iones Hidronio e Hidroxilo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H^+ (aq) + OH^- (aq) ----&gt; H2O (Pureza molecular neutra, pH 6.8 - 7.2)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4. De-cloración Química en Carbón Activado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C* (carbón activado) + HOCl (ácido hipocloroso) ----&gt; C*O (óxido superficial) + H^+ + Cl^-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Fórmula: Parámetros de Calidad del Agua Desionizada Tipo II (ISO 3696)</w:t>
            </w:r>
          </w:p>
        </w:tc>
        <w:tc>
          <w:tcPr>
            <w:tcW w:type="dxa" w:w="61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- Conductividad eléctrica a 25 °C: &lt; 1.0 µS/cm (Resistividad: &gt; 1.0 M-Ohm*cm)</w:t>
              <w:br/>
              <w:t>- Sólidos Totales Disueltos (TDS): &lt; 0.5 ppm (mg/L)</w:t>
              <w:br/>
              <w:t>- Cloro libre residual: No detectable (&lt; 0.02 ppm con ensayo DPD)</w:t>
              <w:br/>
              <w:t>- Caudal nominal de operación: 1.5 a 3.0 Litros/minuto a presión de red de 3 bar</w:t>
              <w:br/>
              <w:t>- Presión diferencial normal de trabajo (Delta P = P1 - P2): &lt; 0.8 bar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3. Arquitectura Instrumental y Componentes Críticos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N°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Instrumental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Descripción y Función Técnica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Portafiltro Etapa 1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Vaso de polipropileno reforzado azul de 10 pulgadas con cartucho de sedimentos de polipropileno spun de 5 micras (5 µm).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Portafiltro Etapa 2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Vaso de 10 pulgadas con cartucho de Carbón Activado en Bloque compacto (CTO) de cáscara de coco de alta capacidad de adsorción.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Portafiltro Etapa 3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Vaso transparente o azul de 10 pulgadas con cartucho recargable de Resina Desionizadora de Lecho Mixto (Mixed Bed MB400 / MB9L) con indicador colorimétrico de agotamiento.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Manómetro de Entrada (P1)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Manómetro analógico de esfera en baño de glicerina (0 - 10 bar / 0 - 150 psi) para monitoreo de la presión hidráulica de red.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Manómetro Intermedio/Salida (P2)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Manómetro de precisión en glicerina para cálculo directo de pérdida de carga y saturación de filtros (Delta P).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Soporte bastidor metálico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Soporte bastidor metálico de montaje mural con pintura electrostática horneada anticorrosiva.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7</w:t>
            </w:r>
          </w:p>
        </w:tc>
        <w:tc>
          <w:tcPr>
            <w:tcW w:type="dxa" w:w="3024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Válvulas esféricas de</w:t>
            </w:r>
          </w:p>
        </w:tc>
        <w:tc>
          <w:tcPr>
            <w:tcW w:type="dxa" w:w="57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000000"/>
                <w:sz w:val="18"/>
              </w:rPr>
              <w:t>Válvulas esféricas de corte de 1/2 pulgada y conexiones rápidas de polietileno tipo John Guest.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4. Procedimiento Operativo Normalizado (PNO / SOP Paso a Paso)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Fase Operativa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Instrucciones de Ejecución Paso a Paso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Puntos Críticos de Control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1: Inspección de Presión Hidráulica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Observar los manómetros de glicerina P1 y P2. Abrir lentamente la válvula esférica de entrada de agua de red. Comprobar que la presión de entrada (P1) esté comprendida entre 2.0 y 4.0 bar (30 a 60 psi). Si la presión es inferior a 1.5 bar, el caudal será deficiente; si supera 5.0 bar, regular la llave para evitar sobrepresión en los vasos.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Verificar agua de calderín y suministro de reactivos.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2: Monitoreo de Pérdida de Carga (Delta P)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Verificar la lectura del manómetro P2 a la salida de las etapas de filtración. Calcular la presión diferencial: Delta P = P1 - P2. En condiciones normales con cartuchos limpios, Delta P debe ser menor a 0.5 bar. Si Delta P supera 1.2 bar, indica que el filtro de sedimentos de 5 µm está colmatado y debe ser reemplazado.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Esperar estabilización térmica previa al ciclo.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3: Purga Inicial y Verificación de Conductividad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Abrir la válvula de toma de muestra y purgar los primeros 1 a 2 litros hacia la cubeta de desagüe para desplazar el frente iónico estancado en la columna de resinas. Tomar una alícuota en un vaso de precipitado limpio y medir la conductividad con conductímetro digital calibrado. El valor debe ser estrictamente menor a 1.5 µS/cm (idealmente &lt; 0.8 µS/cm).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Comprobar hermeticidad y viraje de color / flujo.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4: Suministro a Equipos del Laboratorio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Conectar la manguera de salida al tanque de abastecimiento del destilador Kjeldahl Pro-Nitro, al calderín del destilador metálico, al DOSI-FIBER o a los bidones de almacenamiento analítico de polietileno de alta pureza. Abrir la válvula de distribución continua.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Desconexión oportuna y lectura volumétrica exacta.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Fase 5: Cierre al Finalizar la Jornada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Cerrar la válvula esférica general de entrada de agua de red. Aliviar la presión del sistema abriendo brevemente la canilla de salida para no someter los portafiltros a fatiga mecánica estática continua durante la noche.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000000"/>
                <w:sz w:val="18"/>
              </w:rPr>
              <w:t>Descontaminación con agua desionizada y corte general.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5. Matriz de Bioseguridad, EPP Obligatorio y Prevención de Riesgos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Elemento EPP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Especificación Técnica Requerida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Peligro Mitigado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Mandil de laboratorio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 uso habitual.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Salpicaduras corrosivas al tronco y extremidades.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Guantes de nitrilo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Obligatorios durante las maniobras de apertura de vasos, cambio de cartuchos y manipulación de resinas de intercambio iónico vírgenes o regeneradas.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Proyección ocular directa de reactivos químicos.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Gafas de seguridad de laboratorio</w:t>
            </w:r>
          </w:p>
        </w:tc>
        <w:tc>
          <w:tcPr>
            <w:tcW w:type="dxa" w:w="460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Para protección ante proyecciones de agua a presión al abrir los vasos despresurizadores.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Contacto dérmico con bases o ácidos concentrados.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EAE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00000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 xml:space="preserve">[!] ALERTA DE SEGURIDAD OPERATIVA: </w:t>
            </w:r>
            <w:r>
              <w:rPr>
                <w:rFonts w:ascii="Calibri" w:hAnsi="Calibri"/>
                <w:color w:val="333333"/>
                <w:sz w:val="18"/>
              </w:rPr>
              <w:t>Inundación del laboratorio por rotura de mangueras de polietileno o desprendimiento de conexiones rápidas sometidas a golpes de ariete de la red.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EAE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00000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 xml:space="preserve">[!] ALERTA DE SEGURIDAD OPERATIVA: </w:t>
            </w:r>
            <w:r>
              <w:rPr>
                <w:rFonts w:ascii="Calibri" w:hAnsi="Calibri"/>
                <w:color w:val="333333"/>
                <w:sz w:val="18"/>
              </w:rPr>
              <w:t>Contaminación química masiva de análisis bromatológicos si se utiliza agua desionizada con resina agotada (fuga de iones amonio, sodio y cloruros).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EAE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00000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 xml:space="preserve">[!] ALERTA DE SEGURIDAD OPERATIVA: </w:t>
            </w:r>
            <w:r>
              <w:rPr>
                <w:rFonts w:ascii="Calibri" w:hAnsi="Calibri"/>
                <w:color w:val="333333"/>
                <w:sz w:val="18"/>
              </w:rPr>
              <w:t>Proliferación bacteriana o formación de biofilm en los vasos de resina si el sistema permanece inactivo durante semanas sin flujo ni desinfección.</w:t>
            </w:r>
          </w:p>
        </w:tc>
      </w:tr>
    </w:tbl>
    <w:p>
      <w:pPr>
        <w:spacing w:before="0"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6. Guías de Práctica Oficiales UTEQ y Métodos Normalizados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Ámbito / Aplicación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Detalle de la Práctica de Laboratorio o Norma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Práctica Curricular UTEQ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Protocolo de Aseguramiento de Calidad Analítica: Monitoreo Diario de la Pureza del Agua Desionizada (Conductividad y pH) en el Laboratorio de Bromatología.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Práctica Curricular UTEQ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Práctica Bromatología N° 02: Preparación y Estandarización de Soluciones Valoradas de NaOH 0.1 N, HCl 0.1 N y H2SO4 0.255 N con Agua Grado Analítico.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Práctica Curricular UTEQ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Mantenimiento Rutinario: Protocolo de Sustitución de Cartuchos y Reactivación de Resinas de Intercambio Iónico.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Normas Oficiales Aplicables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ISO 3696 (Grado 2), ASTM D1193 (Tipo II), NTE INEN 1108, Standard Methods for Examination of Water and Wastewater (Sección 1080).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7. Plan de Mantenimiento Preventivo y Calibración Metrológica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Procedimiento de Mantenimiento / Calibración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Filtro de Sedimentos (5 µm)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Sustituir cada 2 a 3 meses, o inmediatamente cuando tome coloración marrón oscura y Delta P &gt; 1.0 bar.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Filtro de Carbón Activado (CTO)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Sustituir cada 4 a 6 meses para garantizar retención total de cloro libre y evitar la oxidación química de las resinas catiónicas.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Cartucho de Resina de Lecho Mixto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Sustituir o regenerar cuando la conductividad del agua efluente supere los 2.5 µS/cm o cuando el 80% de la columna vire de color azul/verde a ámbar oscuro.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Desinfección de Portafiltros</w:t>
            </w:r>
          </w:p>
        </w:tc>
        <w:tc>
          <w:tcPr>
            <w:tcW w:type="dxa" w:w="6768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En cada cambio de cartuchos, lavar el interior de los vasos plásticos con solución de hipoclorito de sodio al 1% y enjuagar abundantemente con agua destilada.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000000"/>
          <w:sz w:val="24"/>
        </w:rPr>
        <w:t>8. Guía de Resolución de Fallos Comunes (Troubleshooting)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Problema / Síntoma Observado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Causa Raíz Probable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000000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Acción Correctiva Inmediata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La conductividad sube súbitamente por encima de 10 µS/cm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Desviación operativa o fatiga de componentes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Agotamiento total de la resina de lecho mixto o canalización interna del lecho por exceso de caudal. Cambiar el cartucho de resina de inmediato.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El manómetro P2 marca cero mientras P1 marca 3 bar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Desviación operativa o fatiga de componentes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Filtro de sedimentos de 5 µm completamente taponado por barro o sedimentos de la red pública. Cambiar el cartucho de sedimentos.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Goteo por la rosca superior del portafiltro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Desviación operativa o fatiga de componentes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4F4F4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Junta tórica (O-ring) de goma negra desalineada, pellizcada o reseca. Cerrar el paso de agua, despresurizar, retirar el vaso, lubricar el O-ring con grasa de silicona grado alimentario y apretar con la llave de vaso.</w:t>
            </w:r>
          </w:p>
        </w:tc>
      </w:tr>
      <w:tr>
        <w:tc>
          <w:tcPr>
            <w:tcW w:type="dxa" w:w="331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00000"/>
                <w:sz w:val="18"/>
              </w:rPr>
              <w:t>El agua presenta pequeñas burbujas blancas microscópicas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Desviación operativa o fatiga de componentes</w:t>
            </w:r>
          </w:p>
        </w:tc>
        <w:tc>
          <w:tcPr>
            <w:tcW w:type="dxa" w:w="3456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  <w:shd w:fill="FFFFFF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color w:val="000000"/>
                <w:sz w:val="18"/>
              </w:rPr>
              <w:t>Aire atrapado tras el cambio de cartuchos. Mantener la purga abierta durante 5 minutos hasta que el flujo sea totalmente cristalino.</w:t>
            </w:r>
          </w:p>
        </w:tc>
      </w:tr>
    </w:tbl>
    <w:p>
      <w:pPr>
        <w:spacing w:before="320"/>
        <w:jc w:val="center"/>
      </w:pPr>
      <w:r>
        <w:rPr>
          <w:rFonts w:ascii="Calibri" w:hAnsi="Calibri"/>
          <w:color w:val="666666"/>
          <w:sz w:val="17"/>
        </w:rPr>
        <w:t>Proyecto de Investigación: Asistente Inteligente de Laboratorio — UTEQ 2026</w:t>
        <w:br/>
        <w:t>Documento Técnico Individual N° 7 — Formato Monocromático de Alta Fidelidad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