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D0837" w14:textId="77777777" w:rsidR="00E027AE" w:rsidRDefault="00B52210">
      <w:pPr>
        <w:pStyle w:val="aa"/>
      </w:pPr>
      <w:r>
        <w:t>Stage 1 Portfolio choice</w:t>
      </w:r>
    </w:p>
    <w:p w14:paraId="4BF8CDED" w14:textId="77777777" w:rsidR="00747757" w:rsidRDefault="00747757" w:rsidP="00747757">
      <w:pPr>
        <w:pStyle w:val="1"/>
      </w:pPr>
      <w:r>
        <w:t>Introduction</w:t>
      </w:r>
    </w:p>
    <w:p w14:paraId="6DB0DCE7" w14:textId="511C7672" w:rsidR="00E027AE" w:rsidRDefault="00B52210" w:rsidP="00747757">
      <w:pPr>
        <w:pStyle w:val="21"/>
      </w:pPr>
      <w:r>
        <w:t>Portfolio universe and data</w:t>
      </w:r>
    </w:p>
    <w:p w14:paraId="3517693A" w14:textId="59236E58" w:rsidR="00E027AE" w:rsidRDefault="00B52210" w:rsidP="00027CFC">
      <w:pPr>
        <w:jc w:val="both"/>
      </w:pPr>
      <w:r>
        <w:t xml:space="preserve">We use 29 stocks from the Dow Jones Industrial Average roster dated 31 October 2015, retaining members that later leave the index. The sample contains 130 monthly USD returns from November 2015 to August 2026, </w:t>
      </w:r>
      <w:r w:rsidRPr="00302406">
        <w:t>the latest complete month also covered by the official factor release.</w:t>
      </w:r>
      <w:r>
        <w:t xml:space="preserve"> </w:t>
      </w:r>
      <w:r w:rsidR="00444C88" w:rsidRPr="007502BD">
        <w:t>The instructor provides monthly stock-price data, which we use for covered ordinary months;</w:t>
      </w:r>
      <w:r>
        <w:t xml:space="preserve"> Yahoo Finance supplies other stocks and date extensions, </w:t>
      </w:r>
      <w:r w:rsidR="004C66E7">
        <w:t>with dividend and stock-split adjustments.</w:t>
      </w:r>
      <w:r w:rsidR="004C66E7" w:rsidRPr="004C66E7">
        <w:t xml:space="preserve"> We account for mandatory spin-off distributions in the return series using a consistent reinvestment convention.</w:t>
      </w:r>
      <w:r>
        <w:t xml:space="preserve"> Old E. I. du Pont is excluded because identity-consistent 2015–2017 historical prices could not be recovered </w:t>
      </w:r>
      <w:r w:rsidRPr="00302406">
        <w:t xml:space="preserve">from the </w:t>
      </w:r>
      <w:r w:rsidR="00302406" w:rsidRPr="00302406">
        <w:rPr>
          <w:rFonts w:hint="eastAsia"/>
        </w:rPr>
        <w:t xml:space="preserve">data </w:t>
      </w:r>
      <w:r w:rsidRPr="00302406">
        <w:t>sources</w:t>
      </w:r>
      <w:r>
        <w:t>; the current DD series could not substitute for the missing old-DuPont history. UTX continues under RTX. Monthly risk-free returns are the Kenneth French one-month Treasury-bill series, converted from published percentages to decimals.</w:t>
      </w:r>
    </w:p>
    <w:p w14:paraId="5E2CB1B5" w14:textId="18B53DE7" w:rsidR="00E027AE" w:rsidRDefault="00444C88" w:rsidP="00444C88">
      <w:r>
        <w:t xml:space="preserve">We keep </w:t>
      </w:r>
      <w:r w:rsidR="007502BD" w:rsidRPr="002E6707">
        <w:rPr>
          <w:rFonts w:hint="eastAsia"/>
        </w:rPr>
        <w:t xml:space="preserve">the </w:t>
      </w:r>
      <w:r>
        <w:t>stocks</w:t>
      </w:r>
      <w:r w:rsidR="00B2281E" w:rsidRPr="00B2281E">
        <w:rPr>
          <w:rStyle w:val="afff0"/>
        </w:rPr>
        <w:footnoteReference w:id="1"/>
      </w:r>
      <w:r>
        <w:t xml:space="preserve"> after index removal and do not add their index replacements. This historical membership rule helps mitigate potential upward bias in historical returns from selecting only current constituents.</w:t>
      </w:r>
    </w:p>
    <w:p w14:paraId="0B3E7F92" w14:textId="74AF6AEC" w:rsidR="00E027AE" w:rsidRDefault="00747757" w:rsidP="00061E0F">
      <w:pPr>
        <w:pStyle w:val="1"/>
      </w:pPr>
      <w:r>
        <w:t>1a Summary statistics</w:t>
      </w:r>
    </w:p>
    <w:p w14:paraId="77B0AC1F" w14:textId="77777777" w:rsidR="00E027AE" w:rsidRDefault="00B52210">
      <w:r>
        <w:t>We estimate arithmetic means and the sample covariance of raw monthly returns. Here Rₜ is the 29-stock monthly return vector, and the full-sample estimates are</w:t>
      </w:r>
    </w:p>
    <w:p w14:paraId="4CBE3848" w14:textId="4358EEBD" w:rsidR="00E027AE" w:rsidRDefault="002E6707">
      <w:pPr>
        <w:spacing w:before="40"/>
        <w:jc w:val="center"/>
      </w:pPr>
      <m:oMathPara>
        <m:oMath>
          <m:acc>
            <m:accPr>
              <m:ctrlPr>
                <w:rPr>
                  <w:rFonts w:ascii="Cambria Math" w:hAnsi="Cambria Math"/>
                </w:rPr>
              </m:ctrlPr>
            </m:accPr>
            <m:e>
              <m:r>
                <w:rPr>
                  <w:rFonts w:ascii="Cambria Math" w:hAnsi="Cambria Math"/>
                </w:rPr>
                <m:t>μ</m:t>
              </m:r>
            </m:e>
          </m:acc>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130</m:t>
              </m:r>
            </m:den>
          </m:f>
          <m:nary>
            <m:naryPr>
              <m:chr m:val="∑"/>
              <m:limLoc m:val="undOvr"/>
              <m:ctrlPr>
                <w:rPr>
                  <w:rFonts w:ascii="Cambria Math" w:hAnsi="Cambria Math"/>
                </w:rPr>
              </m:ctrlPr>
            </m:naryPr>
            <m:sub>
              <m:r>
                <w:rPr>
                  <w:rFonts w:ascii="Cambria Math" w:hAnsi="Cambria Math"/>
                </w:rPr>
                <m:t>t</m:t>
              </m:r>
              <m:r>
                <w:rPr>
                  <w:rFonts w:ascii="Cambria Math" w:hAnsi="Cambria Math"/>
                </w:rPr>
                <m:t xml:space="preserve"> = 1</m:t>
              </m:r>
            </m:sub>
            <m:sup>
              <m:r>
                <w:rPr>
                  <w:rFonts w:ascii="Cambria Math" w:hAnsi="Cambria Math"/>
                </w:rPr>
                <m:t>130</m:t>
              </m:r>
            </m:sup>
            <m:e>
              <m:sSub>
                <m:sSubPr>
                  <m:ctrlPr>
                    <w:rPr>
                      <w:rFonts w:ascii="Cambria Math" w:hAnsi="Cambria Math"/>
                    </w:rPr>
                  </m:ctrlPr>
                </m:sSubPr>
                <m:e>
                  <m:r>
                    <m:rPr>
                      <m:sty m:val="b"/>
                    </m:rPr>
                    <w:rPr>
                      <w:rFonts w:ascii="Cambria Math" w:hAnsi="Cambria Math"/>
                    </w:rPr>
                    <m:t>R</m:t>
                  </m:r>
                </m:e>
                <m:sub>
                  <m:r>
                    <w:rPr>
                      <w:rFonts w:ascii="Cambria Math" w:hAnsi="Cambria Math"/>
                    </w:rPr>
                    <m:t>t</m:t>
                  </m:r>
                </m:sub>
              </m:sSub>
            </m:e>
          </m:nary>
          <m:r>
            <w:rPr>
              <w:rFonts w:ascii="Cambria Math" w:hAnsi="Cambria Math"/>
            </w:rPr>
            <m:t xml:space="preserve">, </m:t>
          </m:r>
          <m:r>
            <w:rPr>
              <w:rFonts w:ascii="Cambria Math" w:eastAsia="宋体" w:hAnsi="Cambria Math"/>
              <w:lang w:eastAsia="zh-CN"/>
            </w:rPr>
            <m:t xml:space="preserve"> </m:t>
          </m:r>
          <m:acc>
            <m:accPr>
              <m:ctrlPr>
                <w:rPr>
                  <w:rFonts w:ascii="Cambria Math" w:hAnsi="Cambria Math"/>
                </w:rPr>
              </m:ctrlPr>
            </m:accPr>
            <m:e>
              <m:r>
                <w:rPr>
                  <w:rFonts w:ascii="Cambria Math" w:hAnsi="Cambria Math"/>
                </w:rPr>
                <m:t>Σ</m:t>
              </m:r>
            </m:e>
          </m:acc>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129</m:t>
              </m:r>
            </m:den>
          </m:f>
          <m:nary>
            <m:naryPr>
              <m:chr m:val="∑"/>
              <m:limLoc m:val="undOvr"/>
              <m:ctrlPr>
                <w:rPr>
                  <w:rFonts w:ascii="Cambria Math" w:hAnsi="Cambria Math"/>
                </w:rPr>
              </m:ctrlPr>
            </m:naryPr>
            <m:sub>
              <m:r>
                <w:rPr>
                  <w:rFonts w:ascii="Cambria Math" w:hAnsi="Cambria Math"/>
                </w:rPr>
                <m:t>t</m:t>
              </m:r>
              <m:r>
                <w:rPr>
                  <w:rFonts w:ascii="Cambria Math" w:hAnsi="Cambria Math"/>
                </w:rPr>
                <m:t xml:space="preserve"> = 1</m:t>
              </m:r>
            </m:sub>
            <m:sup>
              <m:r>
                <w:rPr>
                  <w:rFonts w:ascii="Cambria Math" w:hAnsi="Cambria Math"/>
                </w:rPr>
                <m:t>130</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t</m:t>
                      </m:r>
                    </m:sub>
                  </m:sSub>
                  <m:r>
                    <w:rPr>
                      <w:rFonts w:ascii="Cambria Math" w:hAnsi="Cambria Math"/>
                    </w:rPr>
                    <m:t xml:space="preserve"> - </m:t>
                  </m:r>
                  <m:acc>
                    <m:accPr>
                      <m:ctrlPr>
                        <w:rPr>
                          <w:rFonts w:ascii="Cambria Math" w:hAnsi="Cambria Math"/>
                        </w:rPr>
                      </m:ctrlPr>
                    </m:accPr>
                    <m:e>
                      <m:r>
                        <w:rPr>
                          <w:rFonts w:ascii="Cambria Math" w:hAnsi="Cambria Math"/>
                        </w:rPr>
                        <m:t>μ</m:t>
                      </m:r>
                    </m:e>
                  </m:acc>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t</m:t>
                          </m:r>
                        </m:sub>
                      </m:sSub>
                      <m:r>
                        <w:rPr>
                          <w:rFonts w:ascii="Cambria Math" w:hAnsi="Cambria Math"/>
                        </w:rPr>
                        <m:t xml:space="preserve"> - </m:t>
                      </m:r>
                      <m:acc>
                        <m:accPr>
                          <m:ctrlPr>
                            <w:rPr>
                              <w:rFonts w:ascii="Cambria Math" w:hAnsi="Cambria Math"/>
                            </w:rPr>
                          </m:ctrlPr>
                        </m:accPr>
                        <m:e>
                          <m:r>
                            <w:rPr>
                              <w:rFonts w:ascii="Cambria Math" w:hAnsi="Cambria Math"/>
                            </w:rPr>
                            <m:t>μ</m:t>
                          </m:r>
                        </m:e>
                      </m:acc>
                    </m:e>
                  </m:d>
                </m:e>
                <m:sup>
                  <m:r>
                    <w:rPr>
                      <w:rFonts w:ascii="Cambria Math" w:hAnsi="Cambria Math"/>
                    </w:rPr>
                    <m:t>T</m:t>
                  </m:r>
                </m:sup>
              </m:sSup>
            </m:e>
          </m:nary>
          <m:r>
            <w:rPr>
              <w:rFonts w:ascii="Cambria Math" w:hAnsi="Cambria Math"/>
            </w:rPr>
            <m:t>.</m:t>
          </m:r>
        </m:oMath>
      </m:oMathPara>
    </w:p>
    <w:p w14:paraId="3882121A" w14:textId="6CB3D2F3" w:rsidR="00E027AE" w:rsidRPr="002E6707" w:rsidRDefault="004712B8">
      <w:pPr>
        <w:rPr>
          <w:strike/>
        </w:rPr>
      </w:pPr>
      <w:r>
        <w:t>Monthly means and volatility are shown as percentages</w:t>
      </w:r>
      <w:r w:rsidR="00027CFC">
        <w:rPr>
          <w:rFonts w:eastAsia="宋体" w:hint="eastAsia"/>
          <w:lang w:eastAsia="zh-CN"/>
        </w:rPr>
        <w:t xml:space="preserve"> </w:t>
      </w:r>
      <w:r w:rsidR="001F5BA8">
        <w:rPr>
          <w:rFonts w:eastAsia="宋体"/>
          <w:lang w:eastAsia="zh-CN"/>
        </w:rPr>
        <w:t>in Table 1.1</w:t>
      </w:r>
      <w:r>
        <w:t xml:space="preserve">. Blue shading identifies retained DJIA members; amber identifies later index removals. </w:t>
      </w:r>
    </w:p>
    <w:p w14:paraId="70FD3128" w14:textId="456244E8" w:rsidR="00E027AE" w:rsidRDefault="001F5BA8" w:rsidP="001F5BA8">
      <w:pPr>
        <w:pStyle w:val="af7"/>
        <w:keepNext/>
        <w:keepLines/>
        <w:spacing w:before="80" w:after="80"/>
        <w:jc w:val="center"/>
      </w:pPr>
      <w:r w:rsidRPr="001F5BA8">
        <w:rPr>
          <w:rFonts w:cs="Calibri"/>
        </w:rPr>
        <w:t>Table 1.1 Monthly return statistics</w:t>
      </w:r>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left w:w="80" w:type="dxa"/>
          <w:bottom w:w="40" w:type="dxa"/>
          <w:right w:w="80" w:type="dxa"/>
        </w:tblCellMar>
        <w:tblLook w:val="04A0" w:firstRow="1" w:lastRow="0" w:firstColumn="1" w:lastColumn="0" w:noHBand="0" w:noVBand="1"/>
      </w:tblPr>
      <w:tblGrid>
        <w:gridCol w:w="800"/>
        <w:gridCol w:w="1120"/>
        <w:gridCol w:w="1440"/>
        <w:gridCol w:w="800"/>
        <w:gridCol w:w="1120"/>
        <w:gridCol w:w="1440"/>
        <w:gridCol w:w="800"/>
        <w:gridCol w:w="1120"/>
        <w:gridCol w:w="1440"/>
      </w:tblGrid>
      <w:tr w:rsidR="00061E0F" w:rsidRPr="00061E0F" w14:paraId="3AB5D690" w14:textId="42AB0D2F" w:rsidTr="00EC1783">
        <w:trPr>
          <w:cantSplit/>
          <w:trHeight w:val="540"/>
          <w:tblHeader/>
        </w:trPr>
        <w:tc>
          <w:tcPr>
            <w:tcW w:w="800" w:type="dxa"/>
            <w:tcBorders>
              <w:top w:val="single" w:sz="4" w:space="0" w:color="D9D9D9"/>
              <w:left w:val="single" w:sz="4" w:space="0" w:color="D9D9D9"/>
              <w:bottom w:val="single" w:sz="4" w:space="0" w:color="D9D9D9"/>
              <w:right w:val="single" w:sz="4" w:space="0" w:color="D9D9D9"/>
            </w:tcBorders>
            <w:shd w:val="clear" w:color="auto" w:fill="E8EDF1"/>
            <w:tcMar>
              <w:top w:w="40" w:type="dxa"/>
              <w:left w:w="60" w:type="dxa"/>
              <w:bottom w:w="40" w:type="dxa"/>
              <w:right w:w="60" w:type="dxa"/>
            </w:tcMar>
            <w:vAlign w:val="center"/>
          </w:tcPr>
          <w:p w14:paraId="3C53B0D6" w14:textId="53168CC8" w:rsidR="00061E0F" w:rsidRPr="00061E0F" w:rsidRDefault="00061E0F" w:rsidP="00EC1783">
            <w:pPr>
              <w:keepLines/>
              <w:snapToGrid w:val="0"/>
              <w:spacing w:after="0" w:line="240" w:lineRule="auto"/>
              <w:rPr>
                <w:rFonts w:cs="Calibri"/>
                <w:b/>
                <w:sz w:val="19"/>
              </w:rPr>
            </w:pPr>
            <w:r w:rsidRPr="00061E0F">
              <w:rPr>
                <w:rFonts w:cs="Calibri"/>
                <w:b/>
                <w:sz w:val="19"/>
              </w:rPr>
              <w:t>Stock</w:t>
            </w:r>
          </w:p>
        </w:tc>
        <w:tc>
          <w:tcPr>
            <w:tcW w:w="1120" w:type="dxa"/>
            <w:tcBorders>
              <w:top w:val="single" w:sz="4" w:space="0" w:color="D9D9D9"/>
              <w:left w:val="single" w:sz="4" w:space="0" w:color="D9D9D9"/>
              <w:bottom w:val="single" w:sz="4" w:space="0" w:color="D9D9D9"/>
              <w:right w:val="single" w:sz="4" w:space="0" w:color="D9D9D9"/>
            </w:tcBorders>
            <w:shd w:val="clear" w:color="auto" w:fill="E8EDF1"/>
            <w:tcMar>
              <w:top w:w="40" w:type="dxa"/>
              <w:left w:w="60" w:type="dxa"/>
              <w:bottom w:w="40" w:type="dxa"/>
              <w:right w:w="60" w:type="dxa"/>
            </w:tcMar>
            <w:vAlign w:val="center"/>
          </w:tcPr>
          <w:p w14:paraId="71B3CB65" w14:textId="2ABC11E1" w:rsidR="00061E0F" w:rsidRPr="00061E0F" w:rsidRDefault="00061E0F" w:rsidP="00EC1783">
            <w:pPr>
              <w:keepLines/>
              <w:snapToGrid w:val="0"/>
              <w:spacing w:after="0" w:line="240" w:lineRule="auto"/>
              <w:jc w:val="right"/>
              <w:rPr>
                <w:rFonts w:cs="Calibri"/>
                <w:b/>
                <w:sz w:val="19"/>
              </w:rPr>
            </w:pPr>
            <w:r w:rsidRPr="00061E0F">
              <w:rPr>
                <w:rFonts w:cs="Calibri"/>
                <w:b/>
                <w:sz w:val="19"/>
              </w:rPr>
              <w:t>Mean %</w:t>
            </w:r>
            <w:r w:rsidRPr="00061E0F">
              <w:rPr>
                <w:rFonts w:cs="Calibri"/>
                <w:b/>
                <w:sz w:val="19"/>
              </w:rPr>
              <w:br/>
              <w:t>(monthly)</w:t>
            </w:r>
          </w:p>
        </w:tc>
        <w:tc>
          <w:tcPr>
            <w:tcW w:w="1440" w:type="dxa"/>
            <w:tcBorders>
              <w:top w:val="single" w:sz="4" w:space="0" w:color="D9D9D9"/>
              <w:left w:val="single" w:sz="4" w:space="0" w:color="D9D9D9"/>
              <w:bottom w:val="single" w:sz="4" w:space="0" w:color="D9D9D9"/>
              <w:right w:val="single" w:sz="4" w:space="0" w:color="D9D9D9"/>
            </w:tcBorders>
            <w:shd w:val="clear" w:color="auto" w:fill="E8EDF1"/>
            <w:tcMar>
              <w:top w:w="40" w:type="dxa"/>
              <w:left w:w="60" w:type="dxa"/>
              <w:bottom w:w="40" w:type="dxa"/>
              <w:right w:w="60" w:type="dxa"/>
            </w:tcMar>
            <w:vAlign w:val="center"/>
          </w:tcPr>
          <w:p w14:paraId="198ED0BD" w14:textId="781AD8D5" w:rsidR="00061E0F" w:rsidRPr="00061E0F" w:rsidRDefault="00061E0F" w:rsidP="00EC1783">
            <w:pPr>
              <w:keepLines/>
              <w:snapToGrid w:val="0"/>
              <w:spacing w:after="0" w:line="240" w:lineRule="auto"/>
              <w:jc w:val="right"/>
              <w:rPr>
                <w:rFonts w:cs="Calibri"/>
                <w:b/>
                <w:sz w:val="19"/>
              </w:rPr>
            </w:pPr>
            <w:r w:rsidRPr="00061E0F">
              <w:rPr>
                <w:rFonts w:cs="Calibri"/>
                <w:b/>
                <w:sz w:val="19"/>
              </w:rPr>
              <w:t>Volatility %</w:t>
            </w:r>
            <w:r w:rsidRPr="00061E0F">
              <w:rPr>
                <w:rFonts w:cs="Calibri"/>
                <w:b/>
                <w:sz w:val="19"/>
              </w:rPr>
              <w:br/>
              <w:t>(monthly)</w:t>
            </w:r>
          </w:p>
        </w:tc>
        <w:tc>
          <w:tcPr>
            <w:tcW w:w="800" w:type="dxa"/>
            <w:tcBorders>
              <w:top w:val="single" w:sz="4" w:space="0" w:color="D9D9D9"/>
              <w:left w:val="single" w:sz="4" w:space="0" w:color="D9D9D9"/>
              <w:bottom w:val="single" w:sz="4" w:space="0" w:color="D9D9D9"/>
              <w:right w:val="single" w:sz="4" w:space="0" w:color="D9D9D9"/>
            </w:tcBorders>
            <w:shd w:val="clear" w:color="auto" w:fill="E8EDF1"/>
            <w:tcMar>
              <w:top w:w="40" w:type="dxa"/>
              <w:left w:w="60" w:type="dxa"/>
              <w:bottom w:w="40" w:type="dxa"/>
              <w:right w:w="60" w:type="dxa"/>
            </w:tcMar>
            <w:vAlign w:val="center"/>
          </w:tcPr>
          <w:p w14:paraId="16EA9DA2" w14:textId="6C779626" w:rsidR="00061E0F" w:rsidRPr="00061E0F" w:rsidRDefault="00061E0F" w:rsidP="00EC1783">
            <w:pPr>
              <w:keepLines/>
              <w:snapToGrid w:val="0"/>
              <w:spacing w:after="0" w:line="240" w:lineRule="auto"/>
              <w:rPr>
                <w:rFonts w:cs="Calibri"/>
                <w:b/>
                <w:sz w:val="19"/>
              </w:rPr>
            </w:pPr>
            <w:r w:rsidRPr="00061E0F">
              <w:rPr>
                <w:rFonts w:cs="Calibri"/>
                <w:b/>
                <w:sz w:val="19"/>
              </w:rPr>
              <w:t>Stock</w:t>
            </w:r>
          </w:p>
        </w:tc>
        <w:tc>
          <w:tcPr>
            <w:tcW w:w="1120" w:type="dxa"/>
            <w:tcBorders>
              <w:top w:val="single" w:sz="4" w:space="0" w:color="D9D9D9"/>
              <w:left w:val="single" w:sz="4" w:space="0" w:color="D9D9D9"/>
              <w:bottom w:val="single" w:sz="4" w:space="0" w:color="D9D9D9"/>
              <w:right w:val="single" w:sz="4" w:space="0" w:color="D9D9D9"/>
            </w:tcBorders>
            <w:shd w:val="clear" w:color="auto" w:fill="E8EDF1"/>
            <w:tcMar>
              <w:top w:w="40" w:type="dxa"/>
              <w:left w:w="60" w:type="dxa"/>
              <w:bottom w:w="40" w:type="dxa"/>
              <w:right w:w="60" w:type="dxa"/>
            </w:tcMar>
            <w:vAlign w:val="center"/>
          </w:tcPr>
          <w:p w14:paraId="41AE0174" w14:textId="12824A19" w:rsidR="00061E0F" w:rsidRPr="00061E0F" w:rsidRDefault="00061E0F" w:rsidP="00EC1783">
            <w:pPr>
              <w:keepLines/>
              <w:snapToGrid w:val="0"/>
              <w:spacing w:after="0" w:line="240" w:lineRule="auto"/>
              <w:jc w:val="right"/>
              <w:rPr>
                <w:rFonts w:cs="Calibri"/>
                <w:b/>
                <w:sz w:val="19"/>
              </w:rPr>
            </w:pPr>
            <w:r w:rsidRPr="00061E0F">
              <w:rPr>
                <w:rFonts w:cs="Calibri"/>
                <w:b/>
                <w:sz w:val="19"/>
              </w:rPr>
              <w:t>Mean %</w:t>
            </w:r>
            <w:r w:rsidRPr="00061E0F">
              <w:rPr>
                <w:rFonts w:cs="Calibri"/>
                <w:b/>
                <w:sz w:val="19"/>
              </w:rPr>
              <w:br/>
              <w:t>(monthly)</w:t>
            </w:r>
          </w:p>
        </w:tc>
        <w:tc>
          <w:tcPr>
            <w:tcW w:w="1440" w:type="dxa"/>
            <w:tcBorders>
              <w:top w:val="single" w:sz="4" w:space="0" w:color="D9D9D9"/>
              <w:left w:val="single" w:sz="4" w:space="0" w:color="D9D9D9"/>
              <w:bottom w:val="single" w:sz="4" w:space="0" w:color="D9D9D9"/>
              <w:right w:val="single" w:sz="4" w:space="0" w:color="D9D9D9"/>
            </w:tcBorders>
            <w:shd w:val="clear" w:color="auto" w:fill="E8EDF1"/>
            <w:tcMar>
              <w:top w:w="40" w:type="dxa"/>
              <w:left w:w="60" w:type="dxa"/>
              <w:bottom w:w="40" w:type="dxa"/>
              <w:right w:w="60" w:type="dxa"/>
            </w:tcMar>
            <w:vAlign w:val="center"/>
          </w:tcPr>
          <w:p w14:paraId="4B7AA26C" w14:textId="514BD43B" w:rsidR="00061E0F" w:rsidRPr="00061E0F" w:rsidRDefault="00061E0F" w:rsidP="00EC1783">
            <w:pPr>
              <w:keepLines/>
              <w:snapToGrid w:val="0"/>
              <w:spacing w:after="0" w:line="240" w:lineRule="auto"/>
              <w:jc w:val="right"/>
              <w:rPr>
                <w:rFonts w:cs="Calibri"/>
                <w:b/>
                <w:sz w:val="19"/>
              </w:rPr>
            </w:pPr>
            <w:r w:rsidRPr="00061E0F">
              <w:rPr>
                <w:rFonts w:cs="Calibri"/>
                <w:b/>
                <w:sz w:val="19"/>
              </w:rPr>
              <w:t>Volatility %</w:t>
            </w:r>
            <w:r w:rsidRPr="00061E0F">
              <w:rPr>
                <w:rFonts w:cs="Calibri"/>
                <w:b/>
                <w:sz w:val="19"/>
              </w:rPr>
              <w:br/>
              <w:t>(monthly)</w:t>
            </w:r>
          </w:p>
        </w:tc>
        <w:tc>
          <w:tcPr>
            <w:tcW w:w="800"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30226319" w14:textId="6519BD23" w:rsidR="00061E0F" w:rsidRPr="00061E0F" w:rsidRDefault="00061E0F" w:rsidP="00EC1783">
            <w:pPr>
              <w:keepLines/>
              <w:snapToGrid w:val="0"/>
              <w:spacing w:after="0" w:line="240" w:lineRule="auto"/>
              <w:rPr>
                <w:rFonts w:cs="Calibri"/>
                <w:b/>
                <w:sz w:val="19"/>
              </w:rPr>
            </w:pPr>
            <w:r w:rsidRPr="00061E0F">
              <w:rPr>
                <w:rFonts w:cs="Calibri"/>
                <w:b/>
                <w:sz w:val="19"/>
              </w:rPr>
              <w:t>Stock</w:t>
            </w:r>
          </w:p>
        </w:tc>
        <w:tc>
          <w:tcPr>
            <w:tcW w:w="1120"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1CBB766D" w14:textId="2779E286" w:rsidR="00061E0F" w:rsidRPr="00061E0F" w:rsidRDefault="00061E0F" w:rsidP="00EC1783">
            <w:pPr>
              <w:keepLines/>
              <w:snapToGrid w:val="0"/>
              <w:spacing w:after="0" w:line="240" w:lineRule="auto"/>
              <w:jc w:val="right"/>
              <w:rPr>
                <w:rFonts w:cs="Calibri"/>
                <w:b/>
                <w:sz w:val="19"/>
              </w:rPr>
            </w:pPr>
            <w:r w:rsidRPr="00061E0F">
              <w:rPr>
                <w:rFonts w:cs="Calibri"/>
                <w:b/>
                <w:sz w:val="19"/>
              </w:rPr>
              <w:t>Mean %</w:t>
            </w:r>
            <w:r w:rsidRPr="00061E0F">
              <w:rPr>
                <w:rFonts w:cs="Calibri"/>
                <w:b/>
                <w:sz w:val="19"/>
              </w:rPr>
              <w:br/>
              <w:t>(monthly)</w:t>
            </w:r>
          </w:p>
        </w:tc>
        <w:tc>
          <w:tcPr>
            <w:tcW w:w="1440"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37259645" w14:textId="09F3FD5C" w:rsidR="00061E0F" w:rsidRPr="00061E0F" w:rsidRDefault="00061E0F" w:rsidP="00EC1783">
            <w:pPr>
              <w:keepLines/>
              <w:snapToGrid w:val="0"/>
              <w:spacing w:after="0" w:line="240" w:lineRule="auto"/>
              <w:jc w:val="right"/>
              <w:rPr>
                <w:rFonts w:cs="Calibri"/>
                <w:b/>
                <w:sz w:val="19"/>
              </w:rPr>
            </w:pPr>
            <w:r w:rsidRPr="00061E0F">
              <w:rPr>
                <w:rFonts w:cs="Calibri"/>
                <w:b/>
                <w:sz w:val="19"/>
              </w:rPr>
              <w:t>Volatility %</w:t>
            </w:r>
            <w:r w:rsidRPr="00061E0F">
              <w:rPr>
                <w:rFonts w:cs="Calibri"/>
                <w:b/>
                <w:sz w:val="19"/>
              </w:rPr>
              <w:br/>
              <w:t>(monthly)</w:t>
            </w:r>
          </w:p>
        </w:tc>
      </w:tr>
      <w:tr w:rsidR="00061E0F" w:rsidRPr="00061E0F" w14:paraId="53035F53" w14:textId="3802B8DF" w:rsidTr="00EC1783">
        <w:trPr>
          <w:cantSplit/>
          <w:trHeight w:val="280"/>
        </w:trPr>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6CF5172B" w14:textId="15F8CC98" w:rsidR="00061E0F" w:rsidRPr="00061E0F" w:rsidRDefault="00061E0F" w:rsidP="00EC1783">
            <w:pPr>
              <w:keepLines/>
              <w:snapToGrid w:val="0"/>
              <w:spacing w:after="0" w:line="240" w:lineRule="auto"/>
              <w:rPr>
                <w:rFonts w:cs="Calibri"/>
                <w:sz w:val="19"/>
              </w:rPr>
            </w:pPr>
            <w:r>
              <w:rPr>
                <w:rFonts w:cs="Calibri"/>
                <w:sz w:val="19"/>
              </w:rPr>
              <w:t>MMM</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1186CA0E" w14:textId="5F7F6C4C" w:rsidR="00061E0F" w:rsidRPr="00061E0F" w:rsidRDefault="00061E0F" w:rsidP="00EC1783">
            <w:pPr>
              <w:keepLines/>
              <w:snapToGrid w:val="0"/>
              <w:spacing w:after="0" w:line="240" w:lineRule="auto"/>
              <w:jc w:val="right"/>
              <w:rPr>
                <w:rFonts w:cs="Calibri"/>
                <w:sz w:val="19"/>
              </w:rPr>
            </w:pPr>
            <w:r>
              <w:rPr>
                <w:rFonts w:cs="Calibri"/>
                <w:sz w:val="19"/>
              </w:rPr>
              <w:t>0.703</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7B023141" w14:textId="31991639" w:rsidR="00061E0F" w:rsidRPr="00061E0F" w:rsidRDefault="00061E0F" w:rsidP="00EC1783">
            <w:pPr>
              <w:keepLines/>
              <w:snapToGrid w:val="0"/>
              <w:spacing w:after="0" w:line="240" w:lineRule="auto"/>
              <w:jc w:val="right"/>
              <w:rPr>
                <w:rFonts w:cs="Calibri"/>
                <w:sz w:val="19"/>
              </w:rPr>
            </w:pPr>
            <w:r>
              <w:rPr>
                <w:rFonts w:cs="Calibri"/>
                <w:sz w:val="19"/>
              </w:rPr>
              <w:t>6.887</w:t>
            </w:r>
          </w:p>
        </w:tc>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1E289755" w14:textId="7ADF9830" w:rsidR="00061E0F" w:rsidRPr="00061E0F" w:rsidRDefault="00061E0F" w:rsidP="00EC1783">
            <w:pPr>
              <w:keepLines/>
              <w:snapToGrid w:val="0"/>
              <w:spacing w:after="0" w:line="240" w:lineRule="auto"/>
              <w:rPr>
                <w:rFonts w:cs="Calibri"/>
                <w:sz w:val="19"/>
              </w:rPr>
            </w:pPr>
            <w:r>
              <w:rPr>
                <w:rFonts w:cs="Calibri"/>
                <w:sz w:val="19"/>
              </w:rPr>
              <w:t>GS</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16425027" w14:textId="66E63A8C" w:rsidR="00061E0F" w:rsidRPr="00061E0F" w:rsidRDefault="00061E0F" w:rsidP="00EC1783">
            <w:pPr>
              <w:keepLines/>
              <w:snapToGrid w:val="0"/>
              <w:spacing w:after="0" w:line="240" w:lineRule="auto"/>
              <w:jc w:val="right"/>
              <w:rPr>
                <w:rFonts w:cs="Calibri"/>
                <w:sz w:val="19"/>
              </w:rPr>
            </w:pPr>
            <w:r>
              <w:rPr>
                <w:rFonts w:cs="Calibri"/>
                <w:sz w:val="19"/>
              </w:rPr>
              <w:t>1.817</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0909AB75" w14:textId="05E0EE4E" w:rsidR="00061E0F" w:rsidRPr="00061E0F" w:rsidRDefault="00061E0F" w:rsidP="00EC1783">
            <w:pPr>
              <w:keepLines/>
              <w:snapToGrid w:val="0"/>
              <w:spacing w:after="0" w:line="240" w:lineRule="auto"/>
              <w:jc w:val="right"/>
              <w:rPr>
                <w:rFonts w:cs="Calibri"/>
                <w:sz w:val="19"/>
              </w:rPr>
            </w:pPr>
            <w:r>
              <w:rPr>
                <w:rFonts w:cs="Calibri"/>
                <w:sz w:val="19"/>
              </w:rPr>
              <w:t>8.239</w:t>
            </w:r>
          </w:p>
        </w:tc>
        <w:tc>
          <w:tcPr>
            <w:tcW w:w="800" w:type="dxa"/>
            <w:tcBorders>
              <w:top w:val="single" w:sz="4" w:space="0" w:color="D9D9D9"/>
              <w:left w:val="single" w:sz="4" w:space="0" w:color="D9D9D9"/>
              <w:bottom w:val="single" w:sz="4" w:space="0" w:color="D9D9D9"/>
              <w:right w:val="single" w:sz="4" w:space="0" w:color="D9D9D9"/>
            </w:tcBorders>
            <w:shd w:val="clear" w:color="auto" w:fill="FFF1D6"/>
            <w:vAlign w:val="center"/>
          </w:tcPr>
          <w:p w14:paraId="6ED8E531" w14:textId="2122E6B4" w:rsidR="00061E0F" w:rsidRPr="00061E0F" w:rsidRDefault="00061E0F" w:rsidP="00EC1783">
            <w:pPr>
              <w:keepLines/>
              <w:snapToGrid w:val="0"/>
              <w:spacing w:after="0" w:line="240" w:lineRule="auto"/>
              <w:rPr>
                <w:rFonts w:cs="Calibri"/>
                <w:sz w:val="19"/>
              </w:rPr>
            </w:pPr>
            <w:r>
              <w:rPr>
                <w:rFonts w:cs="Calibri"/>
                <w:sz w:val="19"/>
              </w:rPr>
              <w:t>PFE</w:t>
            </w:r>
          </w:p>
        </w:tc>
        <w:tc>
          <w:tcPr>
            <w:tcW w:w="1120" w:type="dxa"/>
            <w:tcBorders>
              <w:top w:val="single" w:sz="4" w:space="0" w:color="D9D9D9"/>
              <w:left w:val="single" w:sz="4" w:space="0" w:color="D9D9D9"/>
              <w:bottom w:val="single" w:sz="4" w:space="0" w:color="D9D9D9"/>
              <w:right w:val="single" w:sz="4" w:space="0" w:color="D9D9D9"/>
            </w:tcBorders>
            <w:shd w:val="clear" w:color="auto" w:fill="FFF1D6"/>
            <w:vAlign w:val="center"/>
          </w:tcPr>
          <w:p w14:paraId="479243C9" w14:textId="52F93BFD" w:rsidR="00061E0F" w:rsidRPr="00061E0F" w:rsidRDefault="00061E0F" w:rsidP="00EC1783">
            <w:pPr>
              <w:keepLines/>
              <w:snapToGrid w:val="0"/>
              <w:spacing w:after="0" w:line="240" w:lineRule="auto"/>
              <w:jc w:val="right"/>
              <w:rPr>
                <w:rFonts w:cs="Calibri"/>
                <w:sz w:val="19"/>
              </w:rPr>
            </w:pPr>
            <w:r>
              <w:rPr>
                <w:rFonts w:cs="Calibri"/>
                <w:sz w:val="19"/>
              </w:rPr>
              <w:t>0.490</w:t>
            </w:r>
          </w:p>
        </w:tc>
        <w:tc>
          <w:tcPr>
            <w:tcW w:w="1440" w:type="dxa"/>
            <w:tcBorders>
              <w:top w:val="single" w:sz="4" w:space="0" w:color="D9D9D9"/>
              <w:left w:val="single" w:sz="4" w:space="0" w:color="D9D9D9"/>
              <w:bottom w:val="single" w:sz="4" w:space="0" w:color="D9D9D9"/>
              <w:right w:val="single" w:sz="4" w:space="0" w:color="D9D9D9"/>
            </w:tcBorders>
            <w:shd w:val="clear" w:color="auto" w:fill="FFF1D6"/>
            <w:vAlign w:val="center"/>
          </w:tcPr>
          <w:p w14:paraId="5B7B1AC0" w14:textId="3E7F4661" w:rsidR="00061E0F" w:rsidRPr="00061E0F" w:rsidRDefault="00061E0F" w:rsidP="00EC1783">
            <w:pPr>
              <w:keepLines/>
              <w:snapToGrid w:val="0"/>
              <w:spacing w:after="0" w:line="240" w:lineRule="auto"/>
              <w:jc w:val="right"/>
              <w:rPr>
                <w:rFonts w:cs="Calibri"/>
                <w:sz w:val="19"/>
              </w:rPr>
            </w:pPr>
            <w:r>
              <w:rPr>
                <w:rFonts w:cs="Calibri"/>
                <w:sz w:val="19"/>
              </w:rPr>
              <w:t>6.486</w:t>
            </w:r>
          </w:p>
        </w:tc>
      </w:tr>
      <w:tr w:rsidR="00061E0F" w:rsidRPr="00061E0F" w14:paraId="64574689" w14:textId="1CBE2C7E" w:rsidTr="00EC1783">
        <w:trPr>
          <w:cantSplit/>
          <w:trHeight w:val="280"/>
        </w:trPr>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436CD95B" w14:textId="497B84FA" w:rsidR="00061E0F" w:rsidRPr="00061E0F" w:rsidRDefault="00061E0F" w:rsidP="00EC1783">
            <w:pPr>
              <w:keepLines/>
              <w:snapToGrid w:val="0"/>
              <w:spacing w:after="0" w:line="240" w:lineRule="auto"/>
              <w:rPr>
                <w:rFonts w:cs="Calibri"/>
                <w:sz w:val="19"/>
              </w:rPr>
            </w:pPr>
            <w:r>
              <w:rPr>
                <w:rFonts w:cs="Calibri"/>
                <w:sz w:val="19"/>
              </w:rPr>
              <w:t>AXP</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41DB489B" w14:textId="54346820" w:rsidR="00061E0F" w:rsidRPr="00061E0F" w:rsidRDefault="00061E0F" w:rsidP="00EC1783">
            <w:pPr>
              <w:keepLines/>
              <w:snapToGrid w:val="0"/>
              <w:spacing w:after="0" w:line="240" w:lineRule="auto"/>
              <w:jc w:val="right"/>
              <w:rPr>
                <w:rFonts w:cs="Calibri"/>
                <w:sz w:val="19"/>
              </w:rPr>
            </w:pPr>
            <w:r>
              <w:rPr>
                <w:rFonts w:cs="Calibri"/>
                <w:sz w:val="19"/>
              </w:rPr>
              <w:t>1.566</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147D4644" w14:textId="7477A576" w:rsidR="00061E0F" w:rsidRPr="00061E0F" w:rsidRDefault="00061E0F" w:rsidP="00EC1783">
            <w:pPr>
              <w:keepLines/>
              <w:snapToGrid w:val="0"/>
              <w:spacing w:after="0" w:line="240" w:lineRule="auto"/>
              <w:jc w:val="right"/>
              <w:rPr>
                <w:rFonts w:cs="Calibri"/>
                <w:sz w:val="19"/>
              </w:rPr>
            </w:pPr>
            <w:r>
              <w:rPr>
                <w:rFonts w:cs="Calibri"/>
                <w:sz w:val="19"/>
              </w:rPr>
              <w:t>7.517</w:t>
            </w:r>
          </w:p>
        </w:tc>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24FD5E05" w14:textId="62B1BE26" w:rsidR="00061E0F" w:rsidRPr="00061E0F" w:rsidRDefault="00061E0F" w:rsidP="00EC1783">
            <w:pPr>
              <w:keepLines/>
              <w:snapToGrid w:val="0"/>
              <w:spacing w:after="0" w:line="240" w:lineRule="auto"/>
              <w:rPr>
                <w:rFonts w:cs="Calibri"/>
                <w:sz w:val="19"/>
              </w:rPr>
            </w:pPr>
            <w:r>
              <w:rPr>
                <w:rFonts w:cs="Calibri"/>
                <w:sz w:val="19"/>
              </w:rPr>
              <w:t>HD</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270CABF3" w14:textId="2E1B2D4A" w:rsidR="00061E0F" w:rsidRPr="00061E0F" w:rsidRDefault="00061E0F" w:rsidP="00EC1783">
            <w:pPr>
              <w:keepLines/>
              <w:snapToGrid w:val="0"/>
              <w:spacing w:after="0" w:line="240" w:lineRule="auto"/>
              <w:jc w:val="right"/>
              <w:rPr>
                <w:rFonts w:cs="Calibri"/>
                <w:sz w:val="19"/>
              </w:rPr>
            </w:pPr>
            <w:r>
              <w:rPr>
                <w:rFonts w:cs="Calibri"/>
                <w:sz w:val="19"/>
              </w:rPr>
              <w:t>1.160</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2C2D63B8" w14:textId="570CEFC0" w:rsidR="00061E0F" w:rsidRPr="00061E0F" w:rsidRDefault="00061E0F" w:rsidP="00EC1783">
            <w:pPr>
              <w:keepLines/>
              <w:snapToGrid w:val="0"/>
              <w:spacing w:after="0" w:line="240" w:lineRule="auto"/>
              <w:jc w:val="right"/>
              <w:rPr>
                <w:rFonts w:cs="Calibri"/>
                <w:sz w:val="19"/>
              </w:rPr>
            </w:pPr>
            <w:r>
              <w:rPr>
                <w:rFonts w:cs="Calibri"/>
                <w:sz w:val="19"/>
              </w:rPr>
              <w:t>6.478</w:t>
            </w:r>
          </w:p>
        </w:tc>
        <w:tc>
          <w:tcPr>
            <w:tcW w:w="80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7A3424AA" w14:textId="26566E05" w:rsidR="00061E0F" w:rsidRPr="00061E0F" w:rsidRDefault="00061E0F" w:rsidP="00EC1783">
            <w:pPr>
              <w:keepLines/>
              <w:snapToGrid w:val="0"/>
              <w:spacing w:after="0" w:line="240" w:lineRule="auto"/>
              <w:rPr>
                <w:rFonts w:cs="Calibri"/>
                <w:sz w:val="19"/>
              </w:rPr>
            </w:pPr>
            <w:r>
              <w:rPr>
                <w:rFonts w:cs="Calibri"/>
                <w:sz w:val="19"/>
              </w:rPr>
              <w:t>PG</w:t>
            </w:r>
          </w:p>
        </w:tc>
        <w:tc>
          <w:tcPr>
            <w:tcW w:w="112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02C8350A" w14:textId="5CC7846A" w:rsidR="00061E0F" w:rsidRPr="00061E0F" w:rsidRDefault="00061E0F" w:rsidP="00EC1783">
            <w:pPr>
              <w:keepLines/>
              <w:snapToGrid w:val="0"/>
              <w:spacing w:after="0" w:line="240" w:lineRule="auto"/>
              <w:jc w:val="right"/>
              <w:rPr>
                <w:rFonts w:cs="Calibri"/>
                <w:sz w:val="19"/>
              </w:rPr>
            </w:pPr>
            <w:r>
              <w:rPr>
                <w:rFonts w:cs="Calibri"/>
                <w:sz w:val="19"/>
              </w:rPr>
              <w:t>0.837</w:t>
            </w:r>
          </w:p>
        </w:tc>
        <w:tc>
          <w:tcPr>
            <w:tcW w:w="144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46BD9119" w14:textId="6D2FC519" w:rsidR="00061E0F" w:rsidRPr="00061E0F" w:rsidRDefault="00061E0F" w:rsidP="00EC1783">
            <w:pPr>
              <w:keepLines/>
              <w:snapToGrid w:val="0"/>
              <w:spacing w:after="0" w:line="240" w:lineRule="auto"/>
              <w:jc w:val="right"/>
              <w:rPr>
                <w:rFonts w:cs="Calibri"/>
                <w:sz w:val="19"/>
              </w:rPr>
            </w:pPr>
            <w:r>
              <w:rPr>
                <w:rFonts w:cs="Calibri"/>
                <w:sz w:val="19"/>
              </w:rPr>
              <w:t>4.759</w:t>
            </w:r>
          </w:p>
        </w:tc>
      </w:tr>
      <w:tr w:rsidR="00061E0F" w:rsidRPr="00061E0F" w14:paraId="3F5730D0" w14:textId="7174562E" w:rsidTr="00EC1783">
        <w:trPr>
          <w:cantSplit/>
          <w:trHeight w:val="280"/>
        </w:trPr>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0339D48F" w14:textId="670F4B8A" w:rsidR="00061E0F" w:rsidRPr="00061E0F" w:rsidRDefault="00061E0F" w:rsidP="00EC1783">
            <w:pPr>
              <w:keepLines/>
              <w:snapToGrid w:val="0"/>
              <w:spacing w:after="0" w:line="240" w:lineRule="auto"/>
              <w:rPr>
                <w:rFonts w:cs="Calibri"/>
                <w:sz w:val="19"/>
              </w:rPr>
            </w:pPr>
            <w:r>
              <w:rPr>
                <w:rFonts w:cs="Calibri"/>
                <w:sz w:val="19"/>
              </w:rPr>
              <w:t>AAPL</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5C9C1CCF" w14:textId="1E268976" w:rsidR="00061E0F" w:rsidRPr="00061E0F" w:rsidRDefault="00061E0F" w:rsidP="00EC1783">
            <w:pPr>
              <w:keepLines/>
              <w:snapToGrid w:val="0"/>
              <w:spacing w:after="0" w:line="240" w:lineRule="auto"/>
              <w:jc w:val="right"/>
              <w:rPr>
                <w:rFonts w:cs="Calibri"/>
                <w:sz w:val="19"/>
              </w:rPr>
            </w:pPr>
            <w:r>
              <w:rPr>
                <w:rFonts w:cs="Calibri"/>
                <w:sz w:val="19"/>
              </w:rPr>
              <w:t>2.226</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6C0A0724" w14:textId="53155317" w:rsidR="00061E0F" w:rsidRPr="00061E0F" w:rsidRDefault="00061E0F" w:rsidP="00EC1783">
            <w:pPr>
              <w:keepLines/>
              <w:snapToGrid w:val="0"/>
              <w:spacing w:after="0" w:line="240" w:lineRule="auto"/>
              <w:jc w:val="right"/>
              <w:rPr>
                <w:rFonts w:cs="Calibri"/>
                <w:sz w:val="19"/>
              </w:rPr>
            </w:pPr>
            <w:r>
              <w:rPr>
                <w:rFonts w:cs="Calibri"/>
                <w:sz w:val="19"/>
              </w:rPr>
              <w:t>7.917</w:t>
            </w:r>
          </w:p>
        </w:tc>
        <w:tc>
          <w:tcPr>
            <w:tcW w:w="800" w:type="dxa"/>
            <w:tcBorders>
              <w:top w:val="single" w:sz="4" w:space="0" w:color="D9D9D9"/>
              <w:left w:val="single" w:sz="4" w:space="0" w:color="D9D9D9"/>
              <w:bottom w:val="single" w:sz="4" w:space="0" w:color="D9D9D9"/>
              <w:right w:val="single" w:sz="4" w:space="0" w:color="D9D9D9"/>
            </w:tcBorders>
            <w:shd w:val="clear" w:color="auto" w:fill="FFF1D6"/>
            <w:tcMar>
              <w:top w:w="40" w:type="dxa"/>
              <w:left w:w="60" w:type="dxa"/>
              <w:bottom w:w="40" w:type="dxa"/>
              <w:right w:w="60" w:type="dxa"/>
            </w:tcMar>
            <w:vAlign w:val="center"/>
          </w:tcPr>
          <w:p w14:paraId="57C0EE08" w14:textId="435E2A8D" w:rsidR="00061E0F" w:rsidRPr="00061E0F" w:rsidRDefault="00061E0F" w:rsidP="00EC1783">
            <w:pPr>
              <w:keepLines/>
              <w:snapToGrid w:val="0"/>
              <w:spacing w:after="0" w:line="240" w:lineRule="auto"/>
              <w:rPr>
                <w:rFonts w:cs="Calibri"/>
                <w:sz w:val="19"/>
              </w:rPr>
            </w:pPr>
            <w:r>
              <w:rPr>
                <w:rFonts w:cs="Calibri"/>
                <w:sz w:val="19"/>
              </w:rPr>
              <w:t>INTC</w:t>
            </w:r>
          </w:p>
        </w:tc>
        <w:tc>
          <w:tcPr>
            <w:tcW w:w="1120" w:type="dxa"/>
            <w:tcBorders>
              <w:top w:val="single" w:sz="4" w:space="0" w:color="D9D9D9"/>
              <w:left w:val="single" w:sz="4" w:space="0" w:color="D9D9D9"/>
              <w:bottom w:val="single" w:sz="4" w:space="0" w:color="D9D9D9"/>
              <w:right w:val="single" w:sz="4" w:space="0" w:color="D9D9D9"/>
            </w:tcBorders>
            <w:shd w:val="clear" w:color="auto" w:fill="FFF1D6"/>
            <w:tcMar>
              <w:top w:w="40" w:type="dxa"/>
              <w:left w:w="60" w:type="dxa"/>
              <w:bottom w:w="40" w:type="dxa"/>
              <w:right w:w="60" w:type="dxa"/>
            </w:tcMar>
            <w:vAlign w:val="center"/>
          </w:tcPr>
          <w:p w14:paraId="1F788FC9" w14:textId="405E2EB6" w:rsidR="00061E0F" w:rsidRPr="00061E0F" w:rsidRDefault="00061E0F" w:rsidP="00EC1783">
            <w:pPr>
              <w:keepLines/>
              <w:snapToGrid w:val="0"/>
              <w:spacing w:after="0" w:line="240" w:lineRule="auto"/>
              <w:jc w:val="right"/>
              <w:rPr>
                <w:rFonts w:cs="Calibri"/>
                <w:sz w:val="19"/>
              </w:rPr>
            </w:pPr>
            <w:r>
              <w:rPr>
                <w:rFonts w:cs="Calibri"/>
                <w:sz w:val="19"/>
              </w:rPr>
              <w:t>1.831</w:t>
            </w:r>
          </w:p>
        </w:tc>
        <w:tc>
          <w:tcPr>
            <w:tcW w:w="1440" w:type="dxa"/>
            <w:tcBorders>
              <w:top w:val="single" w:sz="4" w:space="0" w:color="D9D9D9"/>
              <w:left w:val="single" w:sz="4" w:space="0" w:color="D9D9D9"/>
              <w:bottom w:val="single" w:sz="4" w:space="0" w:color="D9D9D9"/>
              <w:right w:val="single" w:sz="4" w:space="0" w:color="D9D9D9"/>
            </w:tcBorders>
            <w:shd w:val="clear" w:color="auto" w:fill="FFF1D6"/>
            <w:tcMar>
              <w:top w:w="40" w:type="dxa"/>
              <w:left w:w="60" w:type="dxa"/>
              <w:bottom w:w="40" w:type="dxa"/>
              <w:right w:w="60" w:type="dxa"/>
            </w:tcMar>
            <w:vAlign w:val="center"/>
          </w:tcPr>
          <w:p w14:paraId="6F30D48E" w14:textId="5027769C" w:rsidR="00061E0F" w:rsidRPr="00061E0F" w:rsidRDefault="00061E0F" w:rsidP="00EC1783">
            <w:pPr>
              <w:keepLines/>
              <w:snapToGrid w:val="0"/>
              <w:spacing w:after="0" w:line="240" w:lineRule="auto"/>
              <w:jc w:val="right"/>
              <w:rPr>
                <w:rFonts w:cs="Calibri"/>
                <w:sz w:val="19"/>
              </w:rPr>
            </w:pPr>
            <w:r>
              <w:rPr>
                <w:rFonts w:cs="Calibri"/>
                <w:sz w:val="19"/>
              </w:rPr>
              <w:t>14.775</w:t>
            </w:r>
          </w:p>
        </w:tc>
        <w:tc>
          <w:tcPr>
            <w:tcW w:w="80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77C634CE" w14:textId="14FE0E53" w:rsidR="00061E0F" w:rsidRPr="00061E0F" w:rsidRDefault="00061E0F" w:rsidP="00EC1783">
            <w:pPr>
              <w:keepLines/>
              <w:snapToGrid w:val="0"/>
              <w:spacing w:after="0" w:line="240" w:lineRule="auto"/>
              <w:rPr>
                <w:rFonts w:cs="Calibri"/>
                <w:sz w:val="19"/>
              </w:rPr>
            </w:pPr>
            <w:r>
              <w:rPr>
                <w:rFonts w:cs="Calibri"/>
                <w:sz w:val="19"/>
              </w:rPr>
              <w:t>TRV</w:t>
            </w:r>
          </w:p>
        </w:tc>
        <w:tc>
          <w:tcPr>
            <w:tcW w:w="112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15CA7494" w14:textId="71783CD9" w:rsidR="00061E0F" w:rsidRPr="00061E0F" w:rsidRDefault="00061E0F" w:rsidP="00EC1783">
            <w:pPr>
              <w:keepLines/>
              <w:snapToGrid w:val="0"/>
              <w:spacing w:after="0" w:line="240" w:lineRule="auto"/>
              <w:jc w:val="right"/>
              <w:rPr>
                <w:rFonts w:cs="Calibri"/>
                <w:sz w:val="19"/>
              </w:rPr>
            </w:pPr>
            <w:r>
              <w:rPr>
                <w:rFonts w:cs="Calibri"/>
                <w:sz w:val="19"/>
              </w:rPr>
              <w:t>1.250</w:t>
            </w:r>
          </w:p>
        </w:tc>
        <w:tc>
          <w:tcPr>
            <w:tcW w:w="144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171B0458" w14:textId="2CC3419A" w:rsidR="00061E0F" w:rsidRPr="00061E0F" w:rsidRDefault="00061E0F" w:rsidP="00EC1783">
            <w:pPr>
              <w:keepLines/>
              <w:snapToGrid w:val="0"/>
              <w:spacing w:after="0" w:line="240" w:lineRule="auto"/>
              <w:jc w:val="right"/>
              <w:rPr>
                <w:rFonts w:cs="Calibri"/>
                <w:sz w:val="19"/>
              </w:rPr>
            </w:pPr>
            <w:r>
              <w:rPr>
                <w:rFonts w:cs="Calibri"/>
                <w:sz w:val="19"/>
              </w:rPr>
              <w:t>5.710</w:t>
            </w:r>
          </w:p>
        </w:tc>
      </w:tr>
      <w:tr w:rsidR="00061E0F" w:rsidRPr="00061E0F" w14:paraId="2D8D4B1A" w14:textId="02827186" w:rsidTr="00EC1783">
        <w:trPr>
          <w:cantSplit/>
          <w:trHeight w:val="280"/>
        </w:trPr>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0EF884B1" w14:textId="14137C56" w:rsidR="00061E0F" w:rsidRPr="00061E0F" w:rsidRDefault="00061E0F" w:rsidP="00EC1783">
            <w:pPr>
              <w:keepLines/>
              <w:snapToGrid w:val="0"/>
              <w:spacing w:after="0" w:line="240" w:lineRule="auto"/>
              <w:rPr>
                <w:rFonts w:cs="Calibri"/>
                <w:sz w:val="19"/>
              </w:rPr>
            </w:pPr>
            <w:r>
              <w:rPr>
                <w:rFonts w:cs="Calibri"/>
                <w:sz w:val="19"/>
              </w:rPr>
              <w:t>BA</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6F0727B4" w14:textId="6CE3183C" w:rsidR="00061E0F" w:rsidRPr="00061E0F" w:rsidRDefault="00061E0F" w:rsidP="00EC1783">
            <w:pPr>
              <w:keepLines/>
              <w:snapToGrid w:val="0"/>
              <w:spacing w:after="0" w:line="240" w:lineRule="auto"/>
              <w:jc w:val="right"/>
              <w:rPr>
                <w:rFonts w:cs="Calibri"/>
                <w:sz w:val="19"/>
              </w:rPr>
            </w:pPr>
            <w:r>
              <w:rPr>
                <w:rFonts w:cs="Calibri"/>
                <w:sz w:val="19"/>
              </w:rPr>
              <w:t>0.977</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008B2772" w14:textId="401DE54A" w:rsidR="00061E0F" w:rsidRPr="00061E0F" w:rsidRDefault="00061E0F" w:rsidP="00EC1783">
            <w:pPr>
              <w:keepLines/>
              <w:snapToGrid w:val="0"/>
              <w:spacing w:after="0" w:line="240" w:lineRule="auto"/>
              <w:jc w:val="right"/>
              <w:rPr>
                <w:rFonts w:cs="Calibri"/>
                <w:sz w:val="19"/>
              </w:rPr>
            </w:pPr>
            <w:r>
              <w:rPr>
                <w:rFonts w:cs="Calibri"/>
                <w:sz w:val="19"/>
              </w:rPr>
              <w:t>11.099</w:t>
            </w:r>
          </w:p>
        </w:tc>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7574E80C" w14:textId="42F67F8C" w:rsidR="00061E0F" w:rsidRPr="00061E0F" w:rsidRDefault="00061E0F" w:rsidP="00EC1783">
            <w:pPr>
              <w:keepLines/>
              <w:snapToGrid w:val="0"/>
              <w:spacing w:after="0" w:line="240" w:lineRule="auto"/>
              <w:rPr>
                <w:rFonts w:cs="Calibri"/>
                <w:sz w:val="19"/>
              </w:rPr>
            </w:pPr>
            <w:r>
              <w:rPr>
                <w:rFonts w:cs="Calibri"/>
                <w:sz w:val="19"/>
              </w:rPr>
              <w:t>IBM</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20F717F0" w14:textId="4A2E171B" w:rsidR="00061E0F" w:rsidRPr="00061E0F" w:rsidRDefault="00061E0F" w:rsidP="00EC1783">
            <w:pPr>
              <w:keepLines/>
              <w:snapToGrid w:val="0"/>
              <w:spacing w:after="0" w:line="240" w:lineRule="auto"/>
              <w:jc w:val="right"/>
              <w:rPr>
                <w:rFonts w:cs="Calibri"/>
                <w:sz w:val="19"/>
              </w:rPr>
            </w:pPr>
            <w:r>
              <w:rPr>
                <w:rFonts w:cs="Calibri"/>
                <w:sz w:val="19"/>
              </w:rPr>
              <w:t>1.090</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425E0FB4" w14:textId="62ED3565" w:rsidR="00061E0F" w:rsidRPr="00061E0F" w:rsidRDefault="00061E0F" w:rsidP="00EC1783">
            <w:pPr>
              <w:keepLines/>
              <w:snapToGrid w:val="0"/>
              <w:spacing w:after="0" w:line="240" w:lineRule="auto"/>
              <w:jc w:val="right"/>
              <w:rPr>
                <w:rFonts w:cs="Calibri"/>
                <w:sz w:val="19"/>
              </w:rPr>
            </w:pPr>
            <w:r>
              <w:rPr>
                <w:rFonts w:cs="Calibri"/>
                <w:sz w:val="19"/>
              </w:rPr>
              <w:t>7.909</w:t>
            </w:r>
          </w:p>
        </w:tc>
        <w:tc>
          <w:tcPr>
            <w:tcW w:w="800" w:type="dxa"/>
            <w:tcBorders>
              <w:top w:val="single" w:sz="4" w:space="0" w:color="D9D9D9"/>
              <w:left w:val="single" w:sz="4" w:space="0" w:color="D9D9D9"/>
              <w:bottom w:val="single" w:sz="4" w:space="0" w:color="D9D9D9"/>
              <w:right w:val="single" w:sz="4" w:space="0" w:color="D9D9D9"/>
            </w:tcBorders>
            <w:shd w:val="clear" w:color="auto" w:fill="FFF1D6"/>
            <w:vAlign w:val="center"/>
          </w:tcPr>
          <w:p w14:paraId="24B9EF62" w14:textId="4126470C" w:rsidR="00061E0F" w:rsidRPr="00061E0F" w:rsidRDefault="00061E0F" w:rsidP="00EC1783">
            <w:pPr>
              <w:keepLines/>
              <w:snapToGrid w:val="0"/>
              <w:spacing w:after="0" w:line="240" w:lineRule="auto"/>
              <w:rPr>
                <w:rFonts w:cs="Calibri"/>
                <w:sz w:val="19"/>
              </w:rPr>
            </w:pPr>
            <w:r>
              <w:rPr>
                <w:rFonts w:cs="Calibri"/>
                <w:sz w:val="19"/>
              </w:rPr>
              <w:t>RTX</w:t>
            </w:r>
          </w:p>
        </w:tc>
        <w:tc>
          <w:tcPr>
            <w:tcW w:w="1120" w:type="dxa"/>
            <w:tcBorders>
              <w:top w:val="single" w:sz="4" w:space="0" w:color="D9D9D9"/>
              <w:left w:val="single" w:sz="4" w:space="0" w:color="D9D9D9"/>
              <w:bottom w:val="single" w:sz="4" w:space="0" w:color="D9D9D9"/>
              <w:right w:val="single" w:sz="4" w:space="0" w:color="D9D9D9"/>
            </w:tcBorders>
            <w:shd w:val="clear" w:color="auto" w:fill="FFF1D6"/>
            <w:vAlign w:val="center"/>
          </w:tcPr>
          <w:p w14:paraId="471986A8" w14:textId="74806BA7" w:rsidR="00061E0F" w:rsidRPr="00061E0F" w:rsidRDefault="00061E0F" w:rsidP="00EC1783">
            <w:pPr>
              <w:keepLines/>
              <w:snapToGrid w:val="0"/>
              <w:spacing w:after="0" w:line="240" w:lineRule="auto"/>
              <w:jc w:val="right"/>
              <w:rPr>
                <w:rFonts w:cs="Calibri"/>
                <w:sz w:val="19"/>
              </w:rPr>
            </w:pPr>
            <w:r>
              <w:rPr>
                <w:rFonts w:cs="Calibri"/>
                <w:sz w:val="19"/>
              </w:rPr>
              <w:t>1.512</w:t>
            </w:r>
          </w:p>
        </w:tc>
        <w:tc>
          <w:tcPr>
            <w:tcW w:w="1440" w:type="dxa"/>
            <w:tcBorders>
              <w:top w:val="single" w:sz="4" w:space="0" w:color="D9D9D9"/>
              <w:left w:val="single" w:sz="4" w:space="0" w:color="D9D9D9"/>
              <w:bottom w:val="single" w:sz="4" w:space="0" w:color="D9D9D9"/>
              <w:right w:val="single" w:sz="4" w:space="0" w:color="D9D9D9"/>
            </w:tcBorders>
            <w:shd w:val="clear" w:color="auto" w:fill="FFF1D6"/>
            <w:vAlign w:val="center"/>
          </w:tcPr>
          <w:p w14:paraId="6149D514" w14:textId="7DAECCC4" w:rsidR="00061E0F" w:rsidRPr="00061E0F" w:rsidRDefault="00061E0F" w:rsidP="00EC1783">
            <w:pPr>
              <w:keepLines/>
              <w:snapToGrid w:val="0"/>
              <w:spacing w:after="0" w:line="240" w:lineRule="auto"/>
              <w:jc w:val="right"/>
              <w:rPr>
                <w:rFonts w:cs="Calibri"/>
                <w:sz w:val="19"/>
              </w:rPr>
            </w:pPr>
            <w:r>
              <w:rPr>
                <w:rFonts w:cs="Calibri"/>
                <w:sz w:val="19"/>
              </w:rPr>
              <w:t>7.496</w:t>
            </w:r>
          </w:p>
        </w:tc>
      </w:tr>
      <w:tr w:rsidR="00061E0F" w:rsidRPr="00061E0F" w14:paraId="51FA5D73" w14:textId="68805155" w:rsidTr="00EC1783">
        <w:trPr>
          <w:cantSplit/>
          <w:trHeight w:val="280"/>
        </w:trPr>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2086EEB4" w14:textId="32191AAB" w:rsidR="00061E0F" w:rsidRPr="00061E0F" w:rsidRDefault="00061E0F" w:rsidP="00EC1783">
            <w:pPr>
              <w:keepLines/>
              <w:snapToGrid w:val="0"/>
              <w:spacing w:after="0" w:line="240" w:lineRule="auto"/>
              <w:rPr>
                <w:rFonts w:cs="Calibri"/>
                <w:sz w:val="19"/>
              </w:rPr>
            </w:pPr>
            <w:r>
              <w:rPr>
                <w:rFonts w:cs="Calibri"/>
                <w:sz w:val="19"/>
              </w:rPr>
              <w:t>CAT</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73802317" w14:textId="6FC74808" w:rsidR="00061E0F" w:rsidRPr="00061E0F" w:rsidRDefault="00061E0F" w:rsidP="00EC1783">
            <w:pPr>
              <w:keepLines/>
              <w:snapToGrid w:val="0"/>
              <w:spacing w:after="0" w:line="240" w:lineRule="auto"/>
              <w:jc w:val="right"/>
              <w:rPr>
                <w:rFonts w:cs="Calibri"/>
                <w:sz w:val="19"/>
              </w:rPr>
            </w:pPr>
            <w:r>
              <w:rPr>
                <w:rFonts w:cs="Calibri"/>
                <w:sz w:val="19"/>
              </w:rPr>
              <w:t>2.465</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15CF0FEF" w14:textId="24010EA7" w:rsidR="00061E0F" w:rsidRPr="00061E0F" w:rsidRDefault="00061E0F" w:rsidP="00EC1783">
            <w:pPr>
              <w:keepLines/>
              <w:snapToGrid w:val="0"/>
              <w:spacing w:after="0" w:line="240" w:lineRule="auto"/>
              <w:jc w:val="right"/>
              <w:rPr>
                <w:rFonts w:cs="Calibri"/>
                <w:sz w:val="19"/>
              </w:rPr>
            </w:pPr>
            <w:r>
              <w:rPr>
                <w:rFonts w:cs="Calibri"/>
                <w:sz w:val="19"/>
              </w:rPr>
              <w:t>9.210</w:t>
            </w:r>
          </w:p>
        </w:tc>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43A310ED" w14:textId="1008878E" w:rsidR="00061E0F" w:rsidRPr="00061E0F" w:rsidRDefault="00061E0F" w:rsidP="00EC1783">
            <w:pPr>
              <w:keepLines/>
              <w:snapToGrid w:val="0"/>
              <w:spacing w:after="0" w:line="240" w:lineRule="auto"/>
              <w:rPr>
                <w:rFonts w:cs="Calibri"/>
                <w:sz w:val="19"/>
              </w:rPr>
            </w:pPr>
            <w:r>
              <w:rPr>
                <w:rFonts w:cs="Calibri"/>
                <w:sz w:val="19"/>
              </w:rPr>
              <w:t>JNJ</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61CD2A6A" w14:textId="1F25AD0B" w:rsidR="00061E0F" w:rsidRPr="00061E0F" w:rsidRDefault="00061E0F" w:rsidP="00EC1783">
            <w:pPr>
              <w:keepLines/>
              <w:snapToGrid w:val="0"/>
              <w:spacing w:after="0" w:line="240" w:lineRule="auto"/>
              <w:jc w:val="right"/>
              <w:rPr>
                <w:rFonts w:cs="Calibri"/>
                <w:sz w:val="19"/>
              </w:rPr>
            </w:pPr>
            <w:r>
              <w:rPr>
                <w:rFonts w:cs="Calibri"/>
                <w:sz w:val="19"/>
              </w:rPr>
              <w:t>1.095</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16E107F1" w14:textId="6CCA103C" w:rsidR="00061E0F" w:rsidRPr="00061E0F" w:rsidRDefault="00061E0F" w:rsidP="00EC1783">
            <w:pPr>
              <w:keepLines/>
              <w:snapToGrid w:val="0"/>
              <w:spacing w:after="0" w:line="240" w:lineRule="auto"/>
              <w:jc w:val="right"/>
              <w:rPr>
                <w:rFonts w:cs="Calibri"/>
                <w:sz w:val="19"/>
              </w:rPr>
            </w:pPr>
            <w:r>
              <w:rPr>
                <w:rFonts w:cs="Calibri"/>
                <w:sz w:val="19"/>
              </w:rPr>
              <w:t>4.844</w:t>
            </w:r>
          </w:p>
        </w:tc>
        <w:tc>
          <w:tcPr>
            <w:tcW w:w="80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7515618B" w14:textId="1EDDB281" w:rsidR="00061E0F" w:rsidRPr="00061E0F" w:rsidRDefault="00061E0F" w:rsidP="00EC1783">
            <w:pPr>
              <w:keepLines/>
              <w:snapToGrid w:val="0"/>
              <w:spacing w:after="0" w:line="240" w:lineRule="auto"/>
              <w:rPr>
                <w:rFonts w:cs="Calibri"/>
                <w:sz w:val="19"/>
              </w:rPr>
            </w:pPr>
            <w:r>
              <w:rPr>
                <w:rFonts w:cs="Calibri"/>
                <w:sz w:val="19"/>
              </w:rPr>
              <w:t>UNH</w:t>
            </w:r>
          </w:p>
        </w:tc>
        <w:tc>
          <w:tcPr>
            <w:tcW w:w="112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41B8223C" w14:textId="3A15B723" w:rsidR="00061E0F" w:rsidRPr="00061E0F" w:rsidRDefault="00061E0F" w:rsidP="00EC1783">
            <w:pPr>
              <w:keepLines/>
              <w:snapToGrid w:val="0"/>
              <w:spacing w:after="0" w:line="240" w:lineRule="auto"/>
              <w:jc w:val="right"/>
              <w:rPr>
                <w:rFonts w:cs="Calibri"/>
                <w:sz w:val="19"/>
              </w:rPr>
            </w:pPr>
            <w:r>
              <w:rPr>
                <w:rFonts w:cs="Calibri"/>
                <w:sz w:val="19"/>
              </w:rPr>
              <w:t>1.384</w:t>
            </w:r>
          </w:p>
        </w:tc>
        <w:tc>
          <w:tcPr>
            <w:tcW w:w="144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1DBD1E65" w14:textId="6E1F7CFF" w:rsidR="00061E0F" w:rsidRPr="00061E0F" w:rsidRDefault="00061E0F" w:rsidP="00EC1783">
            <w:pPr>
              <w:keepLines/>
              <w:snapToGrid w:val="0"/>
              <w:spacing w:after="0" w:line="240" w:lineRule="auto"/>
              <w:jc w:val="right"/>
              <w:rPr>
                <w:rFonts w:cs="Calibri"/>
                <w:sz w:val="19"/>
              </w:rPr>
            </w:pPr>
            <w:r>
              <w:rPr>
                <w:rFonts w:cs="Calibri"/>
                <w:sz w:val="19"/>
              </w:rPr>
              <w:t>8.085</w:t>
            </w:r>
          </w:p>
        </w:tc>
      </w:tr>
      <w:tr w:rsidR="00061E0F" w:rsidRPr="00061E0F" w14:paraId="67196C2B" w14:textId="7B43CD79" w:rsidTr="00EC1783">
        <w:trPr>
          <w:cantSplit/>
          <w:trHeight w:val="280"/>
        </w:trPr>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0CDFE7C3" w14:textId="50B6BC5A" w:rsidR="00061E0F" w:rsidRPr="00061E0F" w:rsidRDefault="00061E0F" w:rsidP="00EC1783">
            <w:pPr>
              <w:keepLines/>
              <w:snapToGrid w:val="0"/>
              <w:spacing w:after="0" w:line="240" w:lineRule="auto"/>
              <w:rPr>
                <w:rFonts w:cs="Calibri"/>
                <w:sz w:val="19"/>
              </w:rPr>
            </w:pPr>
            <w:r>
              <w:rPr>
                <w:rFonts w:cs="Calibri"/>
                <w:sz w:val="19"/>
              </w:rPr>
              <w:t>CVX</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04CAD54C" w14:textId="68631773" w:rsidR="00061E0F" w:rsidRPr="00061E0F" w:rsidRDefault="00061E0F" w:rsidP="00EC1783">
            <w:pPr>
              <w:keepLines/>
              <w:snapToGrid w:val="0"/>
              <w:spacing w:after="0" w:line="240" w:lineRule="auto"/>
              <w:jc w:val="right"/>
              <w:rPr>
                <w:rFonts w:cs="Calibri"/>
                <w:sz w:val="19"/>
              </w:rPr>
            </w:pPr>
            <w:r>
              <w:rPr>
                <w:rFonts w:cs="Calibri"/>
                <w:sz w:val="19"/>
              </w:rPr>
              <w:t>1.305</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74657396" w14:textId="34CCB9FE" w:rsidR="00061E0F" w:rsidRPr="00061E0F" w:rsidRDefault="00061E0F" w:rsidP="00EC1783">
            <w:pPr>
              <w:keepLines/>
              <w:snapToGrid w:val="0"/>
              <w:spacing w:after="0" w:line="240" w:lineRule="auto"/>
              <w:jc w:val="right"/>
              <w:rPr>
                <w:rFonts w:cs="Calibri"/>
                <w:sz w:val="19"/>
              </w:rPr>
            </w:pPr>
            <w:r>
              <w:rPr>
                <w:rFonts w:cs="Calibri"/>
                <w:sz w:val="19"/>
              </w:rPr>
              <w:t>8.001</w:t>
            </w:r>
          </w:p>
        </w:tc>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73103D6C" w14:textId="289EEFBD" w:rsidR="00061E0F" w:rsidRPr="00061E0F" w:rsidRDefault="00061E0F" w:rsidP="00EC1783">
            <w:pPr>
              <w:keepLines/>
              <w:snapToGrid w:val="0"/>
              <w:spacing w:after="0" w:line="240" w:lineRule="auto"/>
              <w:rPr>
                <w:rFonts w:cs="Calibri"/>
                <w:sz w:val="19"/>
              </w:rPr>
            </w:pPr>
            <w:r>
              <w:rPr>
                <w:rFonts w:cs="Calibri"/>
                <w:sz w:val="19"/>
              </w:rPr>
              <w:t>JPM</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511142DB" w14:textId="1FF3D908" w:rsidR="00061E0F" w:rsidRPr="00061E0F" w:rsidRDefault="00061E0F" w:rsidP="00EC1783">
            <w:pPr>
              <w:keepLines/>
              <w:snapToGrid w:val="0"/>
              <w:spacing w:after="0" w:line="240" w:lineRule="auto"/>
              <w:jc w:val="right"/>
              <w:rPr>
                <w:rFonts w:cs="Calibri"/>
                <w:sz w:val="19"/>
              </w:rPr>
            </w:pPr>
            <w:r>
              <w:rPr>
                <w:rFonts w:cs="Calibri"/>
                <w:sz w:val="19"/>
              </w:rPr>
              <w:t>1.782</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1E3EB7AF" w14:textId="04CB26B5" w:rsidR="00061E0F" w:rsidRPr="00061E0F" w:rsidRDefault="00061E0F" w:rsidP="00EC1783">
            <w:pPr>
              <w:keepLines/>
              <w:snapToGrid w:val="0"/>
              <w:spacing w:after="0" w:line="240" w:lineRule="auto"/>
              <w:jc w:val="right"/>
              <w:rPr>
                <w:rFonts w:cs="Calibri"/>
                <w:sz w:val="19"/>
              </w:rPr>
            </w:pPr>
            <w:r>
              <w:rPr>
                <w:rFonts w:cs="Calibri"/>
                <w:sz w:val="19"/>
              </w:rPr>
              <w:t>6.876</w:t>
            </w:r>
          </w:p>
        </w:tc>
        <w:tc>
          <w:tcPr>
            <w:tcW w:w="800" w:type="dxa"/>
            <w:tcBorders>
              <w:top w:val="single" w:sz="4" w:space="0" w:color="D9D9D9"/>
              <w:left w:val="single" w:sz="4" w:space="0" w:color="D9D9D9"/>
              <w:bottom w:val="single" w:sz="4" w:space="0" w:color="D9D9D9"/>
              <w:right w:val="single" w:sz="4" w:space="0" w:color="D9D9D9"/>
            </w:tcBorders>
            <w:shd w:val="clear" w:color="auto" w:fill="FFF1D6"/>
            <w:vAlign w:val="center"/>
          </w:tcPr>
          <w:p w14:paraId="0D30E12A" w14:textId="0098A2BB" w:rsidR="00061E0F" w:rsidRPr="00061E0F" w:rsidRDefault="00061E0F" w:rsidP="00EC1783">
            <w:pPr>
              <w:keepLines/>
              <w:snapToGrid w:val="0"/>
              <w:spacing w:after="0" w:line="240" w:lineRule="auto"/>
              <w:rPr>
                <w:rFonts w:cs="Calibri"/>
                <w:sz w:val="19"/>
              </w:rPr>
            </w:pPr>
            <w:r>
              <w:rPr>
                <w:rFonts w:cs="Calibri"/>
                <w:sz w:val="19"/>
              </w:rPr>
              <w:t>VZ</w:t>
            </w:r>
          </w:p>
        </w:tc>
        <w:tc>
          <w:tcPr>
            <w:tcW w:w="1120" w:type="dxa"/>
            <w:tcBorders>
              <w:top w:val="single" w:sz="4" w:space="0" w:color="D9D9D9"/>
              <w:left w:val="single" w:sz="4" w:space="0" w:color="D9D9D9"/>
              <w:bottom w:val="single" w:sz="4" w:space="0" w:color="D9D9D9"/>
              <w:right w:val="single" w:sz="4" w:space="0" w:color="D9D9D9"/>
            </w:tcBorders>
            <w:shd w:val="clear" w:color="auto" w:fill="FFF1D6"/>
            <w:vAlign w:val="center"/>
          </w:tcPr>
          <w:p w14:paraId="1A433986" w14:textId="7AA7A384" w:rsidR="00061E0F" w:rsidRPr="00061E0F" w:rsidRDefault="00061E0F" w:rsidP="00EC1783">
            <w:pPr>
              <w:keepLines/>
              <w:snapToGrid w:val="0"/>
              <w:spacing w:after="0" w:line="240" w:lineRule="auto"/>
              <w:jc w:val="right"/>
              <w:rPr>
                <w:rFonts w:cs="Calibri"/>
                <w:sz w:val="19"/>
              </w:rPr>
            </w:pPr>
            <w:r>
              <w:rPr>
                <w:rFonts w:cs="Calibri"/>
                <w:sz w:val="19"/>
              </w:rPr>
              <w:t>0.637</w:t>
            </w:r>
          </w:p>
        </w:tc>
        <w:tc>
          <w:tcPr>
            <w:tcW w:w="1440" w:type="dxa"/>
            <w:tcBorders>
              <w:top w:val="single" w:sz="4" w:space="0" w:color="D9D9D9"/>
              <w:left w:val="single" w:sz="4" w:space="0" w:color="D9D9D9"/>
              <w:bottom w:val="single" w:sz="4" w:space="0" w:color="D9D9D9"/>
              <w:right w:val="single" w:sz="4" w:space="0" w:color="D9D9D9"/>
            </w:tcBorders>
            <w:shd w:val="clear" w:color="auto" w:fill="FFF1D6"/>
            <w:vAlign w:val="center"/>
          </w:tcPr>
          <w:p w14:paraId="732E916A" w14:textId="0C38F904" w:rsidR="00061E0F" w:rsidRPr="00061E0F" w:rsidRDefault="00061E0F" w:rsidP="00EC1783">
            <w:pPr>
              <w:keepLines/>
              <w:snapToGrid w:val="0"/>
              <w:spacing w:after="0" w:line="240" w:lineRule="auto"/>
              <w:jc w:val="right"/>
              <w:rPr>
                <w:rFonts w:cs="Calibri"/>
                <w:sz w:val="19"/>
              </w:rPr>
            </w:pPr>
            <w:r>
              <w:rPr>
                <w:rFonts w:cs="Calibri"/>
                <w:sz w:val="19"/>
              </w:rPr>
              <w:t>5.447</w:t>
            </w:r>
          </w:p>
        </w:tc>
      </w:tr>
      <w:tr w:rsidR="00061E0F" w:rsidRPr="00061E0F" w14:paraId="61FFE03E" w14:textId="5C8D9674" w:rsidTr="00EC1783">
        <w:trPr>
          <w:cantSplit/>
          <w:trHeight w:val="280"/>
        </w:trPr>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5557A548" w14:textId="58FD0C33" w:rsidR="00061E0F" w:rsidRPr="00061E0F" w:rsidRDefault="00061E0F" w:rsidP="00EC1783">
            <w:pPr>
              <w:keepLines/>
              <w:snapToGrid w:val="0"/>
              <w:spacing w:after="0" w:line="240" w:lineRule="auto"/>
              <w:rPr>
                <w:rFonts w:cs="Calibri"/>
                <w:sz w:val="19"/>
              </w:rPr>
            </w:pPr>
            <w:r>
              <w:rPr>
                <w:rFonts w:cs="Calibri"/>
                <w:sz w:val="19"/>
              </w:rPr>
              <w:t>CSCO</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1E6C9812" w14:textId="223554FE" w:rsidR="00061E0F" w:rsidRPr="00061E0F" w:rsidRDefault="00061E0F" w:rsidP="00EC1783">
            <w:pPr>
              <w:keepLines/>
              <w:snapToGrid w:val="0"/>
              <w:spacing w:after="0" w:line="240" w:lineRule="auto"/>
              <w:jc w:val="right"/>
              <w:rPr>
                <w:rFonts w:cs="Calibri"/>
                <w:sz w:val="19"/>
              </w:rPr>
            </w:pPr>
            <w:r>
              <w:rPr>
                <w:rFonts w:cs="Calibri"/>
                <w:sz w:val="19"/>
              </w:rPr>
              <w:t>1.533</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4712A702" w14:textId="6DD99220" w:rsidR="00061E0F" w:rsidRPr="00061E0F" w:rsidRDefault="00061E0F" w:rsidP="00EC1783">
            <w:pPr>
              <w:keepLines/>
              <w:snapToGrid w:val="0"/>
              <w:spacing w:after="0" w:line="240" w:lineRule="auto"/>
              <w:jc w:val="right"/>
              <w:rPr>
                <w:rFonts w:cs="Calibri"/>
                <w:sz w:val="19"/>
              </w:rPr>
            </w:pPr>
            <w:r>
              <w:rPr>
                <w:rFonts w:cs="Calibri"/>
                <w:sz w:val="19"/>
              </w:rPr>
              <w:t>7.120</w:t>
            </w:r>
          </w:p>
        </w:tc>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319DC19B" w14:textId="603E1BF9" w:rsidR="00061E0F" w:rsidRPr="00061E0F" w:rsidRDefault="00061E0F" w:rsidP="00EC1783">
            <w:pPr>
              <w:keepLines/>
              <w:snapToGrid w:val="0"/>
              <w:spacing w:after="0" w:line="240" w:lineRule="auto"/>
              <w:rPr>
                <w:rFonts w:cs="Calibri"/>
                <w:sz w:val="19"/>
              </w:rPr>
            </w:pPr>
            <w:r>
              <w:rPr>
                <w:rFonts w:cs="Calibri"/>
                <w:sz w:val="19"/>
              </w:rPr>
              <w:t>MCD</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0C1934E6" w14:textId="7FACB9DA" w:rsidR="00061E0F" w:rsidRPr="00061E0F" w:rsidRDefault="00061E0F" w:rsidP="00EC1783">
            <w:pPr>
              <w:keepLines/>
              <w:snapToGrid w:val="0"/>
              <w:spacing w:after="0" w:line="240" w:lineRule="auto"/>
              <w:jc w:val="right"/>
              <w:rPr>
                <w:rFonts w:cs="Calibri"/>
                <w:sz w:val="19"/>
              </w:rPr>
            </w:pPr>
            <w:r>
              <w:rPr>
                <w:rFonts w:cs="Calibri"/>
                <w:sz w:val="19"/>
              </w:rPr>
              <w:t>0.978</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3E0F0A03" w14:textId="0E4443D7" w:rsidR="00061E0F" w:rsidRPr="00061E0F" w:rsidRDefault="00061E0F" w:rsidP="00EC1783">
            <w:pPr>
              <w:keepLines/>
              <w:snapToGrid w:val="0"/>
              <w:spacing w:after="0" w:line="240" w:lineRule="auto"/>
              <w:jc w:val="right"/>
              <w:rPr>
                <w:rFonts w:cs="Calibri"/>
                <w:sz w:val="19"/>
              </w:rPr>
            </w:pPr>
            <w:r>
              <w:rPr>
                <w:rFonts w:cs="Calibri"/>
                <w:sz w:val="19"/>
              </w:rPr>
              <w:t>4.846</w:t>
            </w:r>
          </w:p>
        </w:tc>
        <w:tc>
          <w:tcPr>
            <w:tcW w:w="80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159F71AF" w14:textId="6BEB419B" w:rsidR="00061E0F" w:rsidRPr="00061E0F" w:rsidRDefault="00061E0F" w:rsidP="00EC1783">
            <w:pPr>
              <w:keepLines/>
              <w:snapToGrid w:val="0"/>
              <w:spacing w:after="0" w:line="240" w:lineRule="auto"/>
              <w:rPr>
                <w:rFonts w:cs="Calibri"/>
                <w:sz w:val="19"/>
              </w:rPr>
            </w:pPr>
            <w:r>
              <w:rPr>
                <w:rFonts w:cs="Calibri"/>
                <w:sz w:val="19"/>
              </w:rPr>
              <w:t>V</w:t>
            </w:r>
          </w:p>
        </w:tc>
        <w:tc>
          <w:tcPr>
            <w:tcW w:w="112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1EC10894" w14:textId="3B40C17C" w:rsidR="00061E0F" w:rsidRPr="00061E0F" w:rsidRDefault="00061E0F" w:rsidP="00EC1783">
            <w:pPr>
              <w:keepLines/>
              <w:snapToGrid w:val="0"/>
              <w:spacing w:after="0" w:line="240" w:lineRule="auto"/>
              <w:jc w:val="right"/>
              <w:rPr>
                <w:rFonts w:cs="Calibri"/>
                <w:sz w:val="19"/>
              </w:rPr>
            </w:pPr>
            <w:r>
              <w:rPr>
                <w:rFonts w:cs="Calibri"/>
                <w:sz w:val="19"/>
              </w:rPr>
              <w:t>1.444</w:t>
            </w:r>
          </w:p>
        </w:tc>
        <w:tc>
          <w:tcPr>
            <w:tcW w:w="144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3ED1BF3A" w14:textId="3E4B745C" w:rsidR="00061E0F" w:rsidRPr="00061E0F" w:rsidRDefault="00061E0F" w:rsidP="00EC1783">
            <w:pPr>
              <w:keepLines/>
              <w:snapToGrid w:val="0"/>
              <w:spacing w:after="0" w:line="240" w:lineRule="auto"/>
              <w:jc w:val="right"/>
              <w:rPr>
                <w:rFonts w:cs="Calibri"/>
                <w:sz w:val="19"/>
              </w:rPr>
            </w:pPr>
            <w:r>
              <w:rPr>
                <w:rFonts w:cs="Calibri"/>
                <w:sz w:val="19"/>
              </w:rPr>
              <w:t>5.617</w:t>
            </w:r>
          </w:p>
        </w:tc>
      </w:tr>
      <w:tr w:rsidR="00061E0F" w:rsidRPr="00061E0F" w14:paraId="7BA9D413" w14:textId="0FA1DACE" w:rsidTr="00EC1783">
        <w:trPr>
          <w:cantSplit/>
          <w:trHeight w:val="280"/>
        </w:trPr>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304A8B7B" w14:textId="106B1770" w:rsidR="00061E0F" w:rsidRPr="00061E0F" w:rsidRDefault="00061E0F" w:rsidP="00EC1783">
            <w:pPr>
              <w:keepLines/>
              <w:snapToGrid w:val="0"/>
              <w:spacing w:after="0" w:line="240" w:lineRule="auto"/>
              <w:rPr>
                <w:rFonts w:cs="Calibri"/>
                <w:sz w:val="19"/>
              </w:rPr>
            </w:pPr>
            <w:r>
              <w:rPr>
                <w:rFonts w:cs="Calibri"/>
                <w:sz w:val="19"/>
              </w:rPr>
              <w:t>KO</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36D5C92C" w14:textId="75E48E06" w:rsidR="00061E0F" w:rsidRPr="00061E0F" w:rsidRDefault="00061E0F" w:rsidP="00EC1783">
            <w:pPr>
              <w:keepLines/>
              <w:snapToGrid w:val="0"/>
              <w:spacing w:after="0" w:line="240" w:lineRule="auto"/>
              <w:jc w:val="right"/>
              <w:rPr>
                <w:rFonts w:cs="Calibri"/>
                <w:sz w:val="19"/>
              </w:rPr>
            </w:pPr>
            <w:r>
              <w:rPr>
                <w:rFonts w:cs="Calibri"/>
                <w:sz w:val="19"/>
              </w:rPr>
              <w:t>0.937</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42936E82" w14:textId="3FA980EF" w:rsidR="00061E0F" w:rsidRPr="00061E0F" w:rsidRDefault="00061E0F" w:rsidP="00EC1783">
            <w:pPr>
              <w:keepLines/>
              <w:snapToGrid w:val="0"/>
              <w:spacing w:after="0" w:line="240" w:lineRule="auto"/>
              <w:jc w:val="right"/>
              <w:rPr>
                <w:rFonts w:cs="Calibri"/>
                <w:sz w:val="19"/>
              </w:rPr>
            </w:pPr>
            <w:r>
              <w:rPr>
                <w:rFonts w:cs="Calibri"/>
                <w:sz w:val="19"/>
              </w:rPr>
              <w:t>4.613</w:t>
            </w:r>
          </w:p>
        </w:tc>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2D033CAE" w14:textId="53D3B6DF" w:rsidR="00061E0F" w:rsidRPr="00061E0F" w:rsidRDefault="00061E0F" w:rsidP="00EC1783">
            <w:pPr>
              <w:keepLines/>
              <w:snapToGrid w:val="0"/>
              <w:spacing w:after="0" w:line="240" w:lineRule="auto"/>
              <w:rPr>
                <w:rFonts w:cs="Calibri"/>
                <w:sz w:val="19"/>
              </w:rPr>
            </w:pPr>
            <w:r>
              <w:rPr>
                <w:rFonts w:cs="Calibri"/>
                <w:sz w:val="19"/>
              </w:rPr>
              <w:t>MRK</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703BB5AD" w14:textId="40B2021E" w:rsidR="00061E0F" w:rsidRPr="00061E0F" w:rsidRDefault="00061E0F" w:rsidP="00EC1783">
            <w:pPr>
              <w:keepLines/>
              <w:snapToGrid w:val="0"/>
              <w:spacing w:after="0" w:line="240" w:lineRule="auto"/>
              <w:jc w:val="right"/>
              <w:rPr>
                <w:rFonts w:cs="Calibri"/>
                <w:sz w:val="19"/>
              </w:rPr>
            </w:pPr>
            <w:r>
              <w:rPr>
                <w:rFonts w:cs="Calibri"/>
                <w:sz w:val="19"/>
              </w:rPr>
              <w:t>1.240</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3DB59F37" w14:textId="3AB21817" w:rsidR="00061E0F" w:rsidRPr="00061E0F" w:rsidRDefault="00061E0F" w:rsidP="00EC1783">
            <w:pPr>
              <w:keepLines/>
              <w:snapToGrid w:val="0"/>
              <w:spacing w:after="0" w:line="240" w:lineRule="auto"/>
              <w:jc w:val="right"/>
              <w:rPr>
                <w:rFonts w:cs="Calibri"/>
                <w:sz w:val="19"/>
              </w:rPr>
            </w:pPr>
            <w:r>
              <w:rPr>
                <w:rFonts w:cs="Calibri"/>
                <w:sz w:val="19"/>
              </w:rPr>
              <w:t>6.002</w:t>
            </w:r>
          </w:p>
        </w:tc>
        <w:tc>
          <w:tcPr>
            <w:tcW w:w="80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40D7E10E" w14:textId="5D52F176" w:rsidR="00061E0F" w:rsidRPr="00061E0F" w:rsidRDefault="00061E0F" w:rsidP="00EC1783">
            <w:pPr>
              <w:keepLines/>
              <w:snapToGrid w:val="0"/>
              <w:spacing w:after="0" w:line="240" w:lineRule="auto"/>
              <w:rPr>
                <w:rFonts w:cs="Calibri"/>
                <w:sz w:val="19"/>
              </w:rPr>
            </w:pPr>
            <w:r>
              <w:rPr>
                <w:rFonts w:cs="Calibri"/>
                <w:sz w:val="19"/>
              </w:rPr>
              <w:t>WMT</w:t>
            </w:r>
          </w:p>
        </w:tc>
        <w:tc>
          <w:tcPr>
            <w:tcW w:w="112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480EB99F" w14:textId="5206242B" w:rsidR="00061E0F" w:rsidRPr="00061E0F" w:rsidRDefault="00061E0F" w:rsidP="00EC1783">
            <w:pPr>
              <w:keepLines/>
              <w:snapToGrid w:val="0"/>
              <w:spacing w:after="0" w:line="240" w:lineRule="auto"/>
              <w:jc w:val="right"/>
              <w:rPr>
                <w:rFonts w:cs="Calibri"/>
                <w:sz w:val="19"/>
              </w:rPr>
            </w:pPr>
            <w:r>
              <w:rPr>
                <w:rFonts w:cs="Calibri"/>
                <w:sz w:val="19"/>
              </w:rPr>
              <w:t>1.618</w:t>
            </w:r>
          </w:p>
        </w:tc>
        <w:tc>
          <w:tcPr>
            <w:tcW w:w="144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4F53D64B" w14:textId="50A65977" w:rsidR="00061E0F" w:rsidRPr="00061E0F" w:rsidRDefault="00061E0F" w:rsidP="00EC1783">
            <w:pPr>
              <w:keepLines/>
              <w:snapToGrid w:val="0"/>
              <w:spacing w:after="0" w:line="240" w:lineRule="auto"/>
              <w:jc w:val="right"/>
              <w:rPr>
                <w:rFonts w:cs="Calibri"/>
                <w:sz w:val="19"/>
              </w:rPr>
            </w:pPr>
            <w:r>
              <w:rPr>
                <w:rFonts w:cs="Calibri"/>
                <w:sz w:val="19"/>
              </w:rPr>
              <w:t>5.398</w:t>
            </w:r>
          </w:p>
        </w:tc>
      </w:tr>
      <w:tr w:rsidR="00061E0F" w:rsidRPr="00061E0F" w14:paraId="05C22DDA" w14:textId="5E50E3B2" w:rsidTr="00EC1783">
        <w:trPr>
          <w:cantSplit/>
          <w:trHeight w:val="280"/>
        </w:trPr>
        <w:tc>
          <w:tcPr>
            <w:tcW w:w="800" w:type="dxa"/>
            <w:tcBorders>
              <w:top w:val="single" w:sz="4" w:space="0" w:color="D9D9D9"/>
              <w:left w:val="single" w:sz="4" w:space="0" w:color="D9D9D9"/>
              <w:bottom w:val="single" w:sz="4" w:space="0" w:color="D9D9D9"/>
              <w:right w:val="single" w:sz="4" w:space="0" w:color="D9D9D9"/>
            </w:tcBorders>
            <w:shd w:val="clear" w:color="auto" w:fill="FFF1D6"/>
            <w:tcMar>
              <w:top w:w="40" w:type="dxa"/>
              <w:left w:w="60" w:type="dxa"/>
              <w:bottom w:w="40" w:type="dxa"/>
              <w:right w:w="60" w:type="dxa"/>
            </w:tcMar>
            <w:vAlign w:val="center"/>
          </w:tcPr>
          <w:p w14:paraId="3D39C79A" w14:textId="0DF88746" w:rsidR="00061E0F" w:rsidRPr="00061E0F" w:rsidRDefault="00061E0F" w:rsidP="00EC1783">
            <w:pPr>
              <w:keepLines/>
              <w:snapToGrid w:val="0"/>
              <w:spacing w:after="0" w:line="240" w:lineRule="auto"/>
              <w:rPr>
                <w:rFonts w:cs="Calibri"/>
                <w:sz w:val="19"/>
              </w:rPr>
            </w:pPr>
            <w:r>
              <w:rPr>
                <w:rFonts w:cs="Calibri"/>
                <w:sz w:val="19"/>
              </w:rPr>
              <w:t>XOM</w:t>
            </w:r>
          </w:p>
        </w:tc>
        <w:tc>
          <w:tcPr>
            <w:tcW w:w="1120" w:type="dxa"/>
            <w:tcBorders>
              <w:top w:val="single" w:sz="4" w:space="0" w:color="D9D9D9"/>
              <w:left w:val="single" w:sz="4" w:space="0" w:color="D9D9D9"/>
              <w:bottom w:val="single" w:sz="4" w:space="0" w:color="D9D9D9"/>
              <w:right w:val="single" w:sz="4" w:space="0" w:color="D9D9D9"/>
            </w:tcBorders>
            <w:shd w:val="clear" w:color="auto" w:fill="FFF1D6"/>
            <w:tcMar>
              <w:top w:w="40" w:type="dxa"/>
              <w:left w:w="60" w:type="dxa"/>
              <w:bottom w:w="40" w:type="dxa"/>
              <w:right w:w="60" w:type="dxa"/>
            </w:tcMar>
            <w:vAlign w:val="center"/>
          </w:tcPr>
          <w:p w14:paraId="6CAB2B98" w14:textId="100D6A84" w:rsidR="00061E0F" w:rsidRPr="00061E0F" w:rsidRDefault="00061E0F" w:rsidP="00EC1783">
            <w:pPr>
              <w:keepLines/>
              <w:snapToGrid w:val="0"/>
              <w:spacing w:after="0" w:line="240" w:lineRule="auto"/>
              <w:jc w:val="right"/>
              <w:rPr>
                <w:rFonts w:cs="Calibri"/>
                <w:sz w:val="19"/>
              </w:rPr>
            </w:pPr>
            <w:r>
              <w:rPr>
                <w:rFonts w:cs="Calibri"/>
                <w:sz w:val="19"/>
              </w:rPr>
              <w:t>1.183</w:t>
            </w:r>
          </w:p>
        </w:tc>
        <w:tc>
          <w:tcPr>
            <w:tcW w:w="1440" w:type="dxa"/>
            <w:tcBorders>
              <w:top w:val="single" w:sz="4" w:space="0" w:color="D9D9D9"/>
              <w:left w:val="single" w:sz="4" w:space="0" w:color="D9D9D9"/>
              <w:bottom w:val="single" w:sz="4" w:space="0" w:color="D9D9D9"/>
              <w:right w:val="single" w:sz="4" w:space="0" w:color="D9D9D9"/>
            </w:tcBorders>
            <w:shd w:val="clear" w:color="auto" w:fill="FFF1D6"/>
            <w:tcMar>
              <w:top w:w="40" w:type="dxa"/>
              <w:left w:w="60" w:type="dxa"/>
              <w:bottom w:w="40" w:type="dxa"/>
              <w:right w:w="60" w:type="dxa"/>
            </w:tcMar>
            <w:vAlign w:val="center"/>
          </w:tcPr>
          <w:p w14:paraId="7DB45F73" w14:textId="63742E69" w:rsidR="00061E0F" w:rsidRPr="00061E0F" w:rsidRDefault="00061E0F" w:rsidP="00EC1783">
            <w:pPr>
              <w:keepLines/>
              <w:snapToGrid w:val="0"/>
              <w:spacing w:after="0" w:line="240" w:lineRule="auto"/>
              <w:jc w:val="right"/>
              <w:rPr>
                <w:rFonts w:cs="Calibri"/>
                <w:sz w:val="19"/>
              </w:rPr>
            </w:pPr>
            <w:r>
              <w:rPr>
                <w:rFonts w:cs="Calibri"/>
                <w:sz w:val="19"/>
              </w:rPr>
              <w:t>7.940</w:t>
            </w:r>
          </w:p>
        </w:tc>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0BBEBB16" w14:textId="64396DAD" w:rsidR="00061E0F" w:rsidRPr="00061E0F" w:rsidRDefault="00061E0F" w:rsidP="00EC1783">
            <w:pPr>
              <w:keepLines/>
              <w:snapToGrid w:val="0"/>
              <w:spacing w:after="0" w:line="240" w:lineRule="auto"/>
              <w:rPr>
                <w:rFonts w:cs="Calibri"/>
                <w:sz w:val="19"/>
              </w:rPr>
            </w:pPr>
            <w:r>
              <w:rPr>
                <w:rFonts w:cs="Calibri"/>
                <w:sz w:val="19"/>
              </w:rPr>
              <w:t>MSFT</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2F1BFBA8" w14:textId="28CDF3F3" w:rsidR="00061E0F" w:rsidRPr="00061E0F" w:rsidRDefault="00061E0F" w:rsidP="00EC1783">
            <w:pPr>
              <w:keepLines/>
              <w:snapToGrid w:val="0"/>
              <w:spacing w:after="0" w:line="240" w:lineRule="auto"/>
              <w:jc w:val="right"/>
              <w:rPr>
                <w:rFonts w:cs="Calibri"/>
                <w:sz w:val="19"/>
              </w:rPr>
            </w:pPr>
            <w:r>
              <w:rPr>
                <w:rFonts w:cs="Calibri"/>
                <w:sz w:val="19"/>
              </w:rPr>
              <w:t>2.081</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5F922C81" w14:textId="2B023F6C" w:rsidR="00061E0F" w:rsidRPr="00061E0F" w:rsidRDefault="00061E0F" w:rsidP="00EC1783">
            <w:pPr>
              <w:keepLines/>
              <w:snapToGrid w:val="0"/>
              <w:spacing w:after="0" w:line="240" w:lineRule="auto"/>
              <w:jc w:val="right"/>
              <w:rPr>
                <w:rFonts w:cs="Calibri"/>
                <w:sz w:val="19"/>
              </w:rPr>
            </w:pPr>
            <w:r>
              <w:rPr>
                <w:rFonts w:cs="Calibri"/>
                <w:sz w:val="19"/>
              </w:rPr>
              <w:t>6.556</w:t>
            </w:r>
          </w:p>
        </w:tc>
        <w:tc>
          <w:tcPr>
            <w:tcW w:w="80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52AAF74F" w14:textId="1047E1E3" w:rsidR="00061E0F" w:rsidRPr="00061E0F" w:rsidRDefault="00061E0F" w:rsidP="00EC1783">
            <w:pPr>
              <w:keepLines/>
              <w:snapToGrid w:val="0"/>
              <w:spacing w:after="0" w:line="240" w:lineRule="auto"/>
              <w:rPr>
                <w:rFonts w:cs="Calibri"/>
                <w:sz w:val="19"/>
              </w:rPr>
            </w:pPr>
            <w:r>
              <w:rPr>
                <w:rFonts w:cs="Calibri"/>
                <w:sz w:val="19"/>
              </w:rPr>
              <w:t>DIS</w:t>
            </w:r>
          </w:p>
        </w:tc>
        <w:tc>
          <w:tcPr>
            <w:tcW w:w="112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62F577DB" w14:textId="30B185CD" w:rsidR="00061E0F" w:rsidRPr="00061E0F" w:rsidRDefault="00061E0F" w:rsidP="00EC1783">
            <w:pPr>
              <w:keepLines/>
              <w:snapToGrid w:val="0"/>
              <w:spacing w:after="0" w:line="240" w:lineRule="auto"/>
              <w:jc w:val="right"/>
              <w:rPr>
                <w:rFonts w:cs="Calibri"/>
                <w:sz w:val="19"/>
              </w:rPr>
            </w:pPr>
            <w:r>
              <w:rPr>
                <w:rFonts w:cs="Calibri"/>
                <w:sz w:val="19"/>
              </w:rPr>
              <w:t>0.380</w:t>
            </w:r>
          </w:p>
        </w:tc>
        <w:tc>
          <w:tcPr>
            <w:tcW w:w="1440" w:type="dxa"/>
            <w:tcBorders>
              <w:top w:val="single" w:sz="4" w:space="0" w:color="D9D9D9"/>
              <w:left w:val="single" w:sz="4" w:space="0" w:color="D9D9D9"/>
              <w:bottom w:val="single" w:sz="4" w:space="0" w:color="D9D9D9"/>
              <w:right w:val="single" w:sz="4" w:space="0" w:color="D9D9D9"/>
            </w:tcBorders>
            <w:shd w:val="clear" w:color="auto" w:fill="EEF4FA"/>
            <w:vAlign w:val="center"/>
          </w:tcPr>
          <w:p w14:paraId="603C0572" w14:textId="2566D620" w:rsidR="00061E0F" w:rsidRPr="00061E0F" w:rsidRDefault="00061E0F" w:rsidP="00EC1783">
            <w:pPr>
              <w:keepLines/>
              <w:snapToGrid w:val="0"/>
              <w:spacing w:after="0" w:line="240" w:lineRule="auto"/>
              <w:jc w:val="right"/>
              <w:rPr>
                <w:rFonts w:cs="Calibri"/>
                <w:sz w:val="19"/>
              </w:rPr>
            </w:pPr>
            <w:r>
              <w:rPr>
                <w:rFonts w:cs="Calibri"/>
                <w:sz w:val="19"/>
              </w:rPr>
              <w:t>8.530</w:t>
            </w:r>
          </w:p>
        </w:tc>
      </w:tr>
      <w:tr w:rsidR="00061E0F" w:rsidRPr="00061E0F" w14:paraId="3C9D98F1" w14:textId="79A9C1D3" w:rsidTr="00EC1783">
        <w:trPr>
          <w:cantSplit/>
          <w:trHeight w:val="280"/>
        </w:trPr>
        <w:tc>
          <w:tcPr>
            <w:tcW w:w="800" w:type="dxa"/>
            <w:tcBorders>
              <w:top w:val="single" w:sz="4" w:space="0" w:color="D9D9D9"/>
              <w:left w:val="single" w:sz="4" w:space="0" w:color="D9D9D9"/>
              <w:bottom w:val="single" w:sz="4" w:space="0" w:color="D9D9D9"/>
              <w:right w:val="single" w:sz="4" w:space="0" w:color="D9D9D9"/>
            </w:tcBorders>
            <w:shd w:val="clear" w:color="auto" w:fill="FFF1D6"/>
            <w:tcMar>
              <w:top w:w="40" w:type="dxa"/>
              <w:left w:w="60" w:type="dxa"/>
              <w:bottom w:w="40" w:type="dxa"/>
              <w:right w:w="60" w:type="dxa"/>
            </w:tcMar>
            <w:vAlign w:val="center"/>
          </w:tcPr>
          <w:p w14:paraId="0565C7A2" w14:textId="01B649EF" w:rsidR="00061E0F" w:rsidRPr="00061E0F" w:rsidRDefault="00061E0F" w:rsidP="00EC1783">
            <w:pPr>
              <w:keepLines/>
              <w:snapToGrid w:val="0"/>
              <w:spacing w:after="0" w:line="240" w:lineRule="auto"/>
              <w:rPr>
                <w:rFonts w:cs="Calibri"/>
                <w:sz w:val="19"/>
              </w:rPr>
            </w:pPr>
            <w:r>
              <w:rPr>
                <w:rFonts w:cs="Calibri"/>
                <w:sz w:val="19"/>
              </w:rPr>
              <w:t>GE</w:t>
            </w:r>
          </w:p>
        </w:tc>
        <w:tc>
          <w:tcPr>
            <w:tcW w:w="1120" w:type="dxa"/>
            <w:tcBorders>
              <w:top w:val="single" w:sz="4" w:space="0" w:color="D9D9D9"/>
              <w:left w:val="single" w:sz="4" w:space="0" w:color="D9D9D9"/>
              <w:bottom w:val="single" w:sz="4" w:space="0" w:color="D9D9D9"/>
              <w:right w:val="single" w:sz="4" w:space="0" w:color="D9D9D9"/>
            </w:tcBorders>
            <w:shd w:val="clear" w:color="auto" w:fill="FFF1D6"/>
            <w:tcMar>
              <w:top w:w="40" w:type="dxa"/>
              <w:left w:w="60" w:type="dxa"/>
              <w:bottom w:w="40" w:type="dxa"/>
              <w:right w:w="60" w:type="dxa"/>
            </w:tcMar>
            <w:vAlign w:val="center"/>
          </w:tcPr>
          <w:p w14:paraId="2CA8579C" w14:textId="1237E1F1" w:rsidR="00061E0F" w:rsidRPr="00061E0F" w:rsidRDefault="00061E0F" w:rsidP="00EC1783">
            <w:pPr>
              <w:keepLines/>
              <w:snapToGrid w:val="0"/>
              <w:spacing w:after="0" w:line="240" w:lineRule="auto"/>
              <w:jc w:val="right"/>
              <w:rPr>
                <w:rFonts w:cs="Calibri"/>
                <w:sz w:val="19"/>
              </w:rPr>
            </w:pPr>
            <w:r>
              <w:rPr>
                <w:rFonts w:cs="Calibri"/>
                <w:sz w:val="19"/>
              </w:rPr>
              <w:t>1.314</w:t>
            </w:r>
          </w:p>
        </w:tc>
        <w:tc>
          <w:tcPr>
            <w:tcW w:w="1440" w:type="dxa"/>
            <w:tcBorders>
              <w:top w:val="single" w:sz="4" w:space="0" w:color="D9D9D9"/>
              <w:left w:val="single" w:sz="4" w:space="0" w:color="D9D9D9"/>
              <w:bottom w:val="single" w:sz="4" w:space="0" w:color="D9D9D9"/>
              <w:right w:val="single" w:sz="4" w:space="0" w:color="D9D9D9"/>
            </w:tcBorders>
            <w:shd w:val="clear" w:color="auto" w:fill="FFF1D6"/>
            <w:tcMar>
              <w:top w:w="40" w:type="dxa"/>
              <w:left w:w="60" w:type="dxa"/>
              <w:bottom w:w="40" w:type="dxa"/>
              <w:right w:w="60" w:type="dxa"/>
            </w:tcMar>
            <w:vAlign w:val="center"/>
          </w:tcPr>
          <w:p w14:paraId="5135D9A2" w14:textId="2C9AE860" w:rsidR="00061E0F" w:rsidRPr="00061E0F" w:rsidRDefault="00061E0F" w:rsidP="00EC1783">
            <w:pPr>
              <w:keepLines/>
              <w:snapToGrid w:val="0"/>
              <w:spacing w:after="0" w:line="240" w:lineRule="auto"/>
              <w:jc w:val="right"/>
              <w:rPr>
                <w:rFonts w:cs="Calibri"/>
                <w:sz w:val="19"/>
              </w:rPr>
            </w:pPr>
            <w:r>
              <w:rPr>
                <w:rFonts w:cs="Calibri"/>
                <w:sz w:val="19"/>
              </w:rPr>
              <w:t>10.344</w:t>
            </w:r>
          </w:p>
        </w:tc>
        <w:tc>
          <w:tcPr>
            <w:tcW w:w="80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19EAED27" w14:textId="7767AE79" w:rsidR="00061E0F" w:rsidRPr="00061E0F" w:rsidRDefault="00061E0F" w:rsidP="00EC1783">
            <w:pPr>
              <w:keepLines/>
              <w:snapToGrid w:val="0"/>
              <w:spacing w:after="0" w:line="240" w:lineRule="auto"/>
              <w:rPr>
                <w:rFonts w:cs="Calibri"/>
                <w:sz w:val="19"/>
              </w:rPr>
            </w:pPr>
            <w:r>
              <w:rPr>
                <w:rFonts w:cs="Calibri"/>
                <w:sz w:val="19"/>
              </w:rPr>
              <w:t>NKE</w:t>
            </w:r>
          </w:p>
        </w:tc>
        <w:tc>
          <w:tcPr>
            <w:tcW w:w="112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6498A7B7" w14:textId="2F802EEB" w:rsidR="00061E0F" w:rsidRPr="00061E0F" w:rsidRDefault="00061E0F" w:rsidP="00EC1783">
            <w:pPr>
              <w:keepLines/>
              <w:snapToGrid w:val="0"/>
              <w:spacing w:after="0" w:line="240" w:lineRule="auto"/>
              <w:jc w:val="right"/>
              <w:rPr>
                <w:rFonts w:cs="Calibri"/>
                <w:sz w:val="19"/>
              </w:rPr>
            </w:pPr>
            <w:r>
              <w:rPr>
                <w:rFonts w:cs="Calibri"/>
                <w:sz w:val="19"/>
              </w:rPr>
              <w:t>0.040</w:t>
            </w:r>
          </w:p>
        </w:tc>
        <w:tc>
          <w:tcPr>
            <w:tcW w:w="1440" w:type="dxa"/>
            <w:tcBorders>
              <w:top w:val="single" w:sz="4" w:space="0" w:color="D9D9D9"/>
              <w:left w:val="single" w:sz="4" w:space="0" w:color="D9D9D9"/>
              <w:bottom w:val="single" w:sz="4" w:space="0" w:color="D9D9D9"/>
              <w:right w:val="single" w:sz="4" w:space="0" w:color="D9D9D9"/>
            </w:tcBorders>
            <w:shd w:val="clear" w:color="auto" w:fill="EEF4FA"/>
            <w:tcMar>
              <w:top w:w="40" w:type="dxa"/>
              <w:left w:w="60" w:type="dxa"/>
              <w:bottom w:w="40" w:type="dxa"/>
              <w:right w:w="60" w:type="dxa"/>
            </w:tcMar>
            <w:vAlign w:val="center"/>
          </w:tcPr>
          <w:p w14:paraId="4F66FA4F" w14:textId="5E3DCDB1" w:rsidR="00061E0F" w:rsidRPr="00061E0F" w:rsidRDefault="00061E0F" w:rsidP="00EC1783">
            <w:pPr>
              <w:keepLines/>
              <w:snapToGrid w:val="0"/>
              <w:spacing w:after="0" w:line="240" w:lineRule="auto"/>
              <w:jc w:val="right"/>
              <w:rPr>
                <w:rFonts w:cs="Calibri"/>
                <w:sz w:val="19"/>
              </w:rPr>
            </w:pPr>
            <w:r>
              <w:rPr>
                <w:rFonts w:cs="Calibri"/>
                <w:sz w:val="19"/>
              </w:rPr>
              <w:t>8.019</w:t>
            </w:r>
          </w:p>
        </w:tc>
        <w:tc>
          <w:tcPr>
            <w:tcW w:w="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9C1E9B" w14:textId="77777777" w:rsidR="00061E0F" w:rsidRPr="00061E0F" w:rsidRDefault="00061E0F" w:rsidP="00EC1783">
            <w:pPr>
              <w:keepLines/>
              <w:snapToGrid w:val="0"/>
              <w:spacing w:after="0" w:line="240" w:lineRule="auto"/>
              <w:rPr>
                <w:rFonts w:cs="Calibri"/>
                <w:sz w:val="19"/>
              </w:rPr>
            </w:pPr>
          </w:p>
        </w:tc>
        <w:tc>
          <w:tcPr>
            <w:tcW w:w="11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CF8483" w14:textId="77777777" w:rsidR="00061E0F" w:rsidRPr="00061E0F" w:rsidRDefault="00061E0F" w:rsidP="00EC1783">
            <w:pPr>
              <w:keepLines/>
              <w:snapToGrid w:val="0"/>
              <w:spacing w:after="0" w:line="240" w:lineRule="auto"/>
              <w:jc w:val="right"/>
              <w:rPr>
                <w:rFonts w:cs="Calibri"/>
                <w:sz w:val="19"/>
              </w:rPr>
            </w:pP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7DAC93" w14:textId="77777777" w:rsidR="00061E0F" w:rsidRPr="00061E0F" w:rsidRDefault="00061E0F" w:rsidP="00EC1783">
            <w:pPr>
              <w:keepLines/>
              <w:snapToGrid w:val="0"/>
              <w:spacing w:after="0" w:line="240" w:lineRule="auto"/>
              <w:jc w:val="right"/>
              <w:rPr>
                <w:rFonts w:cs="Calibri"/>
                <w:sz w:val="19"/>
              </w:rPr>
            </w:pPr>
          </w:p>
        </w:tc>
      </w:tr>
    </w:tbl>
    <w:p w14:paraId="4ACFD31F" w14:textId="2CBC939B" w:rsidR="00E027AE" w:rsidRDefault="00E027AE"/>
    <w:p w14:paraId="21E32D4C" w14:textId="5D509A29" w:rsidR="00E027AE" w:rsidRDefault="00747757" w:rsidP="006B0E80">
      <w:pPr>
        <w:pStyle w:val="1"/>
        <w:pageBreakBefore/>
      </w:pPr>
      <w:r>
        <w:lastRenderedPageBreak/>
        <w:t>1b Portfolio weights</w:t>
      </w:r>
    </w:p>
    <w:p w14:paraId="234D78B4" w14:textId="13B0407D" w:rsidR="00E027AE" w:rsidRDefault="00444C88">
      <w:r>
        <w:t xml:space="preserve">The tangency direction z uses estimated monthly excess returns and the inverse sample covariance matrix. Normalizing z gives fully invested weights </w:t>
      </w:r>
      <w:r w:rsidRPr="00444C88">
        <w:rPr>
          <w:i/>
        </w:rPr>
        <w:t>w</w:t>
      </w:r>
      <w:r w:rsidRPr="00444C88">
        <w:rPr>
          <w:i/>
          <w:vertAlign w:val="subscript"/>
        </w:rPr>
        <w:t>F</w:t>
      </w:r>
      <w:r>
        <w:t xml:space="preserve"> that sum to one:</w:t>
      </w:r>
    </w:p>
    <w:p w14:paraId="6E1C5ECA" w14:textId="77777777" w:rsidR="00E027AE" w:rsidRDefault="00B52210">
      <w:pPr>
        <w:spacing w:before="40"/>
        <w:jc w:val="center"/>
      </w:pPr>
      <m:oMathPara>
        <m:oMath>
          <m:r>
            <w:rPr>
              <w:rFonts w:ascii="Cambria Math" w:hAnsi="Cambria Math"/>
            </w:rPr>
            <m:t xml:space="preserve">z = </m:t>
          </m:r>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μ</m:t>
              </m:r>
            </m:e>
          </m:acc>
          <m:r>
            <w:rPr>
              <w:rFonts w:ascii="Cambria Math" w:hAnsi="Cambria Math"/>
            </w:rPr>
            <m:t xml:space="preserve"> - </m:t>
          </m:r>
          <m:bar>
            <m:barPr>
              <m:pos m:val="top"/>
              <m:ctrlPr>
                <w:rPr>
                  <w:rFonts w:ascii="Cambria Math" w:hAnsi="Cambria Math"/>
                </w:rPr>
              </m:ctrlPr>
            </m:barPr>
            <m:e>
              <m:sSub>
                <m:sSubPr>
                  <m:ctrlPr>
                    <w:rPr>
                      <w:rFonts w:ascii="Cambria Math" w:hAnsi="Cambria Math"/>
                    </w:rPr>
                  </m:ctrlPr>
                </m:sSubPr>
                <m:e>
                  <m:r>
                    <w:rPr>
                      <w:rFonts w:ascii="Cambria Math" w:hAnsi="Cambria Math"/>
                    </w:rPr>
                    <m:t>R</m:t>
                  </m:r>
                </m:e>
                <m:sub>
                  <m:r>
                    <w:rPr>
                      <w:rFonts w:ascii="Cambria Math" w:hAnsi="Cambria Math"/>
                    </w:rPr>
                    <m:t>F</m:t>
                  </m:r>
                </m:sub>
              </m:sSub>
            </m:e>
          </m:bar>
          <m:r>
            <w:rPr>
              <w:rFonts w:ascii="Cambria Math" w:hAnsi="Cambria Math"/>
            </w:rPr>
            <m:t xml:space="preserve">1),     </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 xml:space="preserve"> = </m:t>
          </m:r>
          <m:f>
            <m:fPr>
              <m:ctrlPr>
                <w:rPr>
                  <w:rFonts w:ascii="Cambria Math" w:hAnsi="Cambria Math"/>
                </w:rPr>
              </m:ctrlPr>
            </m:fPr>
            <m:num>
              <m:r>
                <w:rPr>
                  <w:rFonts w:ascii="Cambria Math" w:hAnsi="Cambria Math"/>
                </w:rPr>
                <m:t>z</m:t>
              </m:r>
            </m:num>
            <m:den>
              <m:sSup>
                <m:sSupPr>
                  <m:ctrlPr>
                    <w:rPr>
                      <w:rFonts w:ascii="Cambria Math" w:hAnsi="Cambria Math"/>
                    </w:rPr>
                  </m:ctrlPr>
                </m:sSupPr>
                <m:e>
                  <m:r>
                    <w:rPr>
                      <w:rFonts w:ascii="Cambria Math" w:hAnsi="Cambria Math"/>
                    </w:rPr>
                    <m:t>1</m:t>
                  </m:r>
                </m:e>
                <m:sup>
                  <m:r>
                    <w:rPr>
                      <w:rFonts w:ascii="Cambria Math" w:hAnsi="Cambria Math"/>
                    </w:rPr>
                    <m:t>T</m:t>
                  </m:r>
                </m:sup>
              </m:sSup>
              <m:r>
                <w:rPr>
                  <w:rFonts w:ascii="Cambria Math" w:hAnsi="Cambria Math"/>
                </w:rPr>
                <m:t>z</m:t>
              </m:r>
            </m:den>
          </m:f>
          <m:r>
            <w:rPr>
              <w:rFonts w:ascii="Cambria Math" w:hAnsi="Cambria Math"/>
            </w:rPr>
            <m:t>.</m:t>
          </m:r>
        </m:oMath>
      </m:oMathPara>
    </w:p>
    <w:p w14:paraId="6BABA358" w14:textId="75566336" w:rsidR="00E027AE" w:rsidRDefault="00444C88">
      <w:r>
        <w:t>Model Sharpe divides annualized arithmetic mean excess return by annualized portfolio volatility. Monthly portfolio and risk-free means are multiplied by 12, and monthly volatility by the square root of 12:</w:t>
      </w:r>
    </w:p>
    <w:p w14:paraId="32A66A18" w14:textId="266455C1" w:rsidR="00E027AE" w:rsidRDefault="002E6707">
      <w:pPr>
        <w:spacing w:before="40"/>
        <w:jc w:val="center"/>
      </w:pPr>
      <m:oMathPara>
        <m:oMath>
          <m:sSub>
            <m:sSubPr>
              <m:ctrlPr>
                <w:rPr>
                  <w:rFonts w:ascii="Cambria Math" w:hAnsi="Cambria Math"/>
                  <w:i/>
                </w:rPr>
              </m:ctrlPr>
            </m:sSubPr>
            <m:e>
              <m:r>
                <w:rPr>
                  <w:rFonts w:ascii="Cambria Math" w:hAnsi="Cambria Math"/>
                </w:rPr>
                <m:t>S</m:t>
              </m:r>
            </m:e>
            <m:sub>
              <m:r>
                <w:rPr>
                  <w:rFonts w:ascii="Cambria Math" w:hAnsi="Cambria Math"/>
                </w:rPr>
                <m:t>model</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p</m:t>
                  </m:r>
                  <m:r>
                    <w:rPr>
                      <w:rFonts w:ascii="Cambria Math" w:hAnsi="Cambria Math"/>
                    </w:rPr>
                    <m:t>,</m:t>
                  </m:r>
                  <m:r>
                    <w:rPr>
                      <w:rFonts w:ascii="Cambria Math" w:hAnsi="Cambria Math"/>
                    </w:rPr>
                    <m:t>ann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RF</m:t>
                  </m:r>
                  <m:r>
                    <w:rPr>
                      <w:rFonts w:ascii="Cambria Math" w:hAnsi="Cambria Math"/>
                    </w:rPr>
                    <m:t>,</m:t>
                  </m:r>
                  <m:r>
                    <w:rPr>
                      <w:rFonts w:ascii="Cambria Math" w:hAnsi="Cambria Math"/>
                    </w:rPr>
                    <m:t>ann</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p</m:t>
                  </m:r>
                  <m:r>
                    <w:rPr>
                      <w:rFonts w:ascii="Cambria Math" w:hAnsi="Cambria Math"/>
                    </w:rPr>
                    <m:t>,</m:t>
                  </m:r>
                  <m:r>
                    <w:rPr>
                      <w:rFonts w:ascii="Cambria Math" w:hAnsi="Cambria Math"/>
                    </w:rPr>
                    <m:t>ann</m:t>
                  </m:r>
                </m:sub>
              </m:sSub>
            </m:den>
          </m:f>
          <m:r>
            <w:rPr>
              <w:rFonts w:ascii="Cambria Math" w:hAnsi="Cambria Math"/>
            </w:rPr>
            <m:t>.</m:t>
          </m:r>
        </m:oMath>
      </m:oMathPara>
    </w:p>
    <w:p w14:paraId="3540EFC3" w14:textId="7446A78B" w:rsidR="00E027AE" w:rsidRDefault="00444C88">
      <w:pPr>
        <w:spacing w:before="60" w:after="80" w:line="240" w:lineRule="auto"/>
      </w:pPr>
      <w:r>
        <w:t>We compare three portfolios over the same 29 stocks. Unrestricted tangency uses the full-sample estimates, with weights summing to one and short sales permitted. Value weighting normalizes Yahoo company market capitalizations dated 31 August 2026. It is a descriptive comparator. Long-only tangency maximizes the same model Sharpe with nonnegative weights summing to one, testing the effect of prohibiting short sales.</w:t>
      </w:r>
      <w:r w:rsidRPr="002E6707">
        <w:t xml:space="preserve"> Each weight vector is held fixed with monthly rebalancing.</w:t>
      </w:r>
    </w:p>
    <w:p w14:paraId="173AEBE7" w14:textId="4F9D5BE4" w:rsidR="00E027AE" w:rsidRDefault="001F5BA8" w:rsidP="001F5BA8">
      <w:pPr>
        <w:pStyle w:val="af7"/>
        <w:keepNext/>
        <w:keepLines/>
        <w:spacing w:before="80" w:after="80"/>
        <w:jc w:val="center"/>
      </w:pPr>
      <w:r w:rsidRPr="001F5BA8">
        <w:rPr>
          <w:rFonts w:cs="Calibri"/>
        </w:rPr>
        <w:t>Table 1.2 Portfolio weights</w:t>
      </w:r>
    </w:p>
    <w:p w14:paraId="4A78AB26" w14:textId="4C13CED4" w:rsidR="00E027AE" w:rsidRDefault="00444C88" w:rsidP="00444C88">
      <w:pPr>
        <w:keepNext/>
      </w:pPr>
      <w:r>
        <w:rPr>
          <w:noProof/>
          <w:sz w:val="21"/>
          <w:szCs w:val="21"/>
        </w:rPr>
        <w:drawing>
          <wp:inline distT="0" distB="0" distL="0" distR="0" wp14:anchorId="2EF2741B" wp14:editId="157E5AB0">
            <wp:extent cx="6172200" cy="3423489"/>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stretch>
                      <a:fillRect/>
                    </a:stretch>
                  </pic:blipFill>
                  <pic:spPr>
                    <a:xfrm>
                      <a:off x="0" y="0"/>
                      <a:ext cx="6172200" cy="3423489"/>
                    </a:xfrm>
                    <a:prstGeom prst="rect">
                      <a:avLst/>
                    </a:prstGeom>
                  </pic:spPr>
                </pic:pic>
              </a:graphicData>
            </a:graphic>
          </wp:inline>
        </w:drawing>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1555"/>
        <w:gridCol w:w="1771"/>
        <w:gridCol w:w="1901"/>
        <w:gridCol w:w="1901"/>
      </w:tblGrid>
      <w:tr w:rsidR="00E027AE" w14:paraId="0D7C8814"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55EBA8D4" w14:textId="77777777" w:rsidR="00E027AE" w:rsidRDefault="00B52210">
            <w:pPr>
              <w:spacing w:before="40" w:after="40" w:line="240" w:lineRule="auto"/>
            </w:pPr>
            <w:r>
              <w:rPr>
                <w:b/>
                <w:sz w:val="18"/>
              </w:rPr>
              <w:t>Portfolio</w:t>
            </w:r>
          </w:p>
        </w:tc>
        <w:tc>
          <w:tcPr>
            <w:tcW w:w="1555"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4CB8A761" w14:textId="77777777" w:rsidR="00E027AE" w:rsidRDefault="00B52210" w:rsidP="00EE05E3">
            <w:pPr>
              <w:spacing w:before="40" w:after="40" w:line="240" w:lineRule="auto"/>
              <w:jc w:val="right"/>
            </w:pPr>
            <w:r>
              <w:rPr>
                <w:b/>
                <w:sz w:val="18"/>
              </w:rPr>
              <w:t>Mean %</w:t>
            </w:r>
          </w:p>
        </w:tc>
        <w:tc>
          <w:tcPr>
            <w:tcW w:w="1771"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62FA1053" w14:textId="77777777" w:rsidR="00E027AE" w:rsidRDefault="00B52210" w:rsidP="00EE05E3">
            <w:pPr>
              <w:spacing w:before="40" w:after="40" w:line="240" w:lineRule="auto"/>
              <w:jc w:val="right"/>
            </w:pPr>
            <w:r>
              <w:rPr>
                <w:b/>
                <w:sz w:val="18"/>
              </w:rPr>
              <w:t>Volatility %</w:t>
            </w:r>
          </w:p>
        </w:tc>
        <w:tc>
          <w:tcPr>
            <w:tcW w:w="1901"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2E51230F" w14:textId="77777777" w:rsidR="00E027AE" w:rsidRDefault="00B52210" w:rsidP="00EE05E3">
            <w:pPr>
              <w:spacing w:before="40" w:after="40" w:line="240" w:lineRule="auto"/>
              <w:jc w:val="right"/>
            </w:pPr>
            <w:r>
              <w:rPr>
                <w:b/>
                <w:sz w:val="18"/>
              </w:rPr>
              <w:t>Model Sharpe</w:t>
            </w:r>
          </w:p>
        </w:tc>
        <w:tc>
          <w:tcPr>
            <w:tcW w:w="1901"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79BAC74B" w14:textId="77777777" w:rsidR="00E027AE" w:rsidRDefault="00B52210" w:rsidP="00EE05E3">
            <w:pPr>
              <w:spacing w:before="40" w:after="40" w:line="240" w:lineRule="auto"/>
              <w:jc w:val="right"/>
            </w:pPr>
            <w:r>
              <w:rPr>
                <w:b/>
                <w:sz w:val="18"/>
              </w:rPr>
              <w:t>Gross %</w:t>
            </w:r>
          </w:p>
        </w:tc>
      </w:tr>
      <w:tr w:rsidR="00E027AE" w14:paraId="639630EC"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7D7D163E" w14:textId="77777777" w:rsidR="00E027AE" w:rsidRDefault="00B52210">
            <w:pPr>
              <w:spacing w:before="40" w:after="40" w:line="240" w:lineRule="auto"/>
            </w:pPr>
            <w:r>
              <w:rPr>
                <w:sz w:val="18"/>
              </w:rPr>
              <w:t>Unrestricted tangency</w:t>
            </w:r>
          </w:p>
        </w:tc>
        <w:tc>
          <w:tcPr>
            <w:tcW w:w="1555"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42CB4474" w14:textId="77777777" w:rsidR="00E027AE" w:rsidRDefault="00B52210" w:rsidP="00EE05E3">
            <w:pPr>
              <w:spacing w:before="40" w:after="40"/>
              <w:jc w:val="right"/>
            </w:pPr>
            <w:r>
              <w:rPr>
                <w:sz w:val="18"/>
              </w:rPr>
              <w:t>44.547</w:t>
            </w:r>
          </w:p>
        </w:tc>
        <w:tc>
          <w:tcPr>
            <w:tcW w:w="177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B0E00C4" w14:textId="77777777" w:rsidR="00E027AE" w:rsidRDefault="00B52210" w:rsidP="00EE05E3">
            <w:pPr>
              <w:spacing w:before="40" w:after="40"/>
              <w:jc w:val="right"/>
            </w:pPr>
            <w:r>
              <w:rPr>
                <w:sz w:val="18"/>
              </w:rPr>
              <w:t>19.794</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34024E3" w14:textId="77777777" w:rsidR="00E027AE" w:rsidRDefault="00B52210" w:rsidP="00EE05E3">
            <w:pPr>
              <w:spacing w:before="40" w:after="40"/>
              <w:jc w:val="right"/>
            </w:pPr>
            <w:r>
              <w:rPr>
                <w:sz w:val="18"/>
              </w:rPr>
              <w:t>2.142</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ED3EF75" w14:textId="77777777" w:rsidR="00E027AE" w:rsidRDefault="00B52210" w:rsidP="00EE05E3">
            <w:pPr>
              <w:spacing w:before="40" w:after="40"/>
              <w:jc w:val="right"/>
            </w:pPr>
            <w:r>
              <w:rPr>
                <w:sz w:val="18"/>
              </w:rPr>
              <w:t>462.588</w:t>
            </w:r>
          </w:p>
        </w:tc>
      </w:tr>
      <w:tr w:rsidR="00E027AE" w14:paraId="69C574CD"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13DFAA46" w14:textId="77777777" w:rsidR="00E027AE" w:rsidRDefault="00B52210">
            <w:pPr>
              <w:spacing w:before="40" w:after="40" w:line="240" w:lineRule="auto"/>
            </w:pPr>
            <w:r>
              <w:rPr>
                <w:sz w:val="18"/>
              </w:rPr>
              <w:t>Value weighted</w:t>
            </w:r>
          </w:p>
        </w:tc>
        <w:tc>
          <w:tcPr>
            <w:tcW w:w="1555"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693FF6C" w14:textId="77777777" w:rsidR="00E027AE" w:rsidRDefault="00B52210" w:rsidP="00EE05E3">
            <w:pPr>
              <w:spacing w:before="40" w:after="40"/>
              <w:jc w:val="right"/>
            </w:pPr>
            <w:r>
              <w:rPr>
                <w:sz w:val="18"/>
              </w:rPr>
              <w:t>20.790</w:t>
            </w:r>
          </w:p>
        </w:tc>
        <w:tc>
          <w:tcPr>
            <w:tcW w:w="177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76BA8A5A" w14:textId="77777777" w:rsidR="00E027AE" w:rsidRDefault="00B52210" w:rsidP="00EE05E3">
            <w:pPr>
              <w:spacing w:before="40" w:after="40"/>
              <w:jc w:val="right"/>
            </w:pPr>
            <w:r>
              <w:rPr>
                <w:sz w:val="18"/>
              </w:rPr>
              <w:t>15.712</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6D5AA0C5" w14:textId="77777777" w:rsidR="00E027AE" w:rsidRDefault="00B52210" w:rsidP="00EE05E3">
            <w:pPr>
              <w:spacing w:before="40" w:after="40"/>
              <w:jc w:val="right"/>
            </w:pPr>
            <w:r>
              <w:rPr>
                <w:sz w:val="18"/>
              </w:rPr>
              <w:t>1.186</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48D68BFE" w14:textId="77777777" w:rsidR="00E027AE" w:rsidRDefault="00B52210" w:rsidP="00EE05E3">
            <w:pPr>
              <w:spacing w:before="40" w:after="40"/>
              <w:jc w:val="right"/>
            </w:pPr>
            <w:r>
              <w:rPr>
                <w:sz w:val="18"/>
              </w:rPr>
              <w:t>100.000</w:t>
            </w:r>
          </w:p>
        </w:tc>
      </w:tr>
      <w:tr w:rsidR="00E027AE" w14:paraId="1E37F42D"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571EBB08" w14:textId="77777777" w:rsidR="00E027AE" w:rsidRDefault="00B52210">
            <w:pPr>
              <w:spacing w:before="40" w:after="40" w:line="240" w:lineRule="auto"/>
            </w:pPr>
            <w:r>
              <w:rPr>
                <w:sz w:val="18"/>
              </w:rPr>
              <w:t>Long only</w:t>
            </w:r>
          </w:p>
        </w:tc>
        <w:tc>
          <w:tcPr>
            <w:tcW w:w="1555"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50FA0496" w14:textId="77777777" w:rsidR="00E027AE" w:rsidRDefault="00B52210" w:rsidP="00EE05E3">
            <w:pPr>
              <w:spacing w:before="40" w:after="40"/>
              <w:jc w:val="right"/>
            </w:pPr>
            <w:r>
              <w:rPr>
                <w:sz w:val="18"/>
              </w:rPr>
              <w:t>22.207</w:t>
            </w:r>
          </w:p>
        </w:tc>
        <w:tc>
          <w:tcPr>
            <w:tcW w:w="177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228ED0CD" w14:textId="77777777" w:rsidR="00E027AE" w:rsidRDefault="00B52210" w:rsidP="00EE05E3">
            <w:pPr>
              <w:spacing w:before="40" w:after="40"/>
              <w:jc w:val="right"/>
            </w:pPr>
            <w:r>
              <w:rPr>
                <w:sz w:val="18"/>
              </w:rPr>
              <w:t>13.946</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5BED07EF" w14:textId="77777777" w:rsidR="00E027AE" w:rsidRDefault="00B52210" w:rsidP="00EE05E3">
            <w:pPr>
              <w:spacing w:before="40" w:after="40"/>
              <w:jc w:val="right"/>
            </w:pPr>
            <w:r>
              <w:rPr>
                <w:sz w:val="18"/>
              </w:rPr>
              <w:t>1.438</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2F565642" w14:textId="77777777" w:rsidR="00E027AE" w:rsidRDefault="00B52210" w:rsidP="00EE05E3">
            <w:pPr>
              <w:spacing w:before="40" w:after="40"/>
              <w:jc w:val="right"/>
            </w:pPr>
            <w:r>
              <w:rPr>
                <w:sz w:val="18"/>
              </w:rPr>
              <w:t>100.000</w:t>
            </w:r>
          </w:p>
        </w:tc>
      </w:tr>
    </w:tbl>
    <w:p w14:paraId="4C04D46D" w14:textId="3CF96513" w:rsidR="00E06B27" w:rsidRDefault="00056EC7">
      <w:pPr>
        <w:spacing w:before="140"/>
      </w:pPr>
      <w:r>
        <w:t xml:space="preserve">Tangency and value weighting produce markedly different portfolio weights. </w:t>
      </w:r>
      <w:r w:rsidR="00E06B27">
        <w:t xml:space="preserve">MSFT receives 47.520% in tangency versus 20.785% by size; DIS has a -48.498% tangency weight versus 1.025% by size. </w:t>
      </w:r>
      <w:r w:rsidR="00F721EC">
        <w:rPr>
          <w:rFonts w:eastAsia="宋体" w:hint="eastAsia"/>
          <w:lang w:eastAsia="zh-CN"/>
        </w:rPr>
        <w:t>For th</w:t>
      </w:r>
      <w:r w:rsidR="00F721EC" w:rsidRPr="00F721EC">
        <w:rPr>
          <w:rFonts w:hint="eastAsia"/>
        </w:rPr>
        <w:t>e u</w:t>
      </w:r>
      <w:r w:rsidR="00F721EC" w:rsidRPr="00F721EC">
        <w:t>nrestricted tangency</w:t>
      </w:r>
      <w:r w:rsidR="00F721EC" w:rsidRPr="00F721EC">
        <w:rPr>
          <w:rFonts w:hint="eastAsia"/>
        </w:rPr>
        <w:t xml:space="preserve"> </w:t>
      </w:r>
      <w:r w:rsidR="00F721EC">
        <w:t xml:space="preserve"> </w:t>
      </w:r>
      <w:r w:rsidR="00F721EC">
        <w:rPr>
          <w:rFonts w:eastAsia="宋体" w:hint="eastAsia"/>
          <w:lang w:eastAsia="zh-CN"/>
        </w:rPr>
        <w:t>p</w:t>
      </w:r>
      <w:r w:rsidR="00F721EC" w:rsidRPr="00F721EC">
        <w:t>ortfolio</w:t>
      </w:r>
      <w:r w:rsidR="00F721EC">
        <w:rPr>
          <w:rFonts w:eastAsia="宋体" w:hint="eastAsia"/>
          <w:lang w:eastAsia="zh-CN"/>
        </w:rPr>
        <w:t>,</w:t>
      </w:r>
      <w:r w:rsidR="00F721EC">
        <w:t xml:space="preserve"> </w:t>
      </w:r>
      <w:r w:rsidR="00F721EC">
        <w:rPr>
          <w:rFonts w:eastAsia="宋体" w:hint="eastAsia"/>
          <w:lang w:eastAsia="zh-CN"/>
        </w:rPr>
        <w:t>l</w:t>
      </w:r>
      <w:r w:rsidR="00E06B27">
        <w:t>ong positions total 281.294% and shorts 181.294%, giving 462.588% gross exposure despite 100% net investment.</w:t>
      </w:r>
    </w:p>
    <w:p w14:paraId="51398AD6" w14:textId="639E671F" w:rsidR="00FF430E" w:rsidRDefault="00B52210" w:rsidP="00761F65">
      <w:pPr>
        <w:keepLines/>
      </w:pPr>
      <w:r>
        <w:lastRenderedPageBreak/>
        <w:t xml:space="preserve">In sample, unrestricted tangency has an annualized arithmetic mean of 44.547%, volatility of 19.794% and model Sharpe of 2.142. The corresponding figures are 20.790%, 15.712% and 1.186 for value weighting, and 22.207%, 13.946% and 1.438 for long-only tangency. </w:t>
      </w:r>
      <w:r w:rsidR="00FF430E">
        <w:t>Requiring nonnegative weights gives 9 positive positions, a largest weight of 28.609% in MSFT, 100% gross exposure and model Sharpe 1.438. This removes extreme offsetting holdings at the cost of a lower fitted optimum, without guaranteeing better subsequent returns.</w:t>
      </w:r>
      <w:r w:rsidR="00761F65" w:rsidRPr="00761F65">
        <w:t xml:space="preserve"> </w:t>
      </w:r>
      <w:r w:rsidR="00761F65">
        <w:t>Prohibiting short sales lowers the fitted maximum Sharpe because nonnegative weights narrow the feasible set and remove leveraged long-short allocations.</w:t>
      </w:r>
    </w:p>
    <w:p w14:paraId="32DB7A00" w14:textId="33D6FBC7" w:rsidR="00E027AE" w:rsidRDefault="00747757" w:rsidP="00747757">
      <w:pPr>
        <w:pStyle w:val="1"/>
      </w:pPr>
      <w:r>
        <w:t xml:space="preserve">1c </w:t>
      </w:r>
      <w:r w:rsidR="00761F65">
        <w:rPr>
          <w:rFonts w:eastAsia="宋体" w:hint="eastAsia"/>
          <w:lang w:eastAsia="zh-CN"/>
        </w:rPr>
        <w:t xml:space="preserve">A short </w:t>
      </w:r>
      <w:r w:rsidR="00761F65" w:rsidRPr="00761F65">
        <w:rPr>
          <w:rFonts w:eastAsia="宋体"/>
          <w:lang w:eastAsia="zh-CN"/>
        </w:rPr>
        <w:t>discussion</w:t>
      </w:r>
      <w:r>
        <w:t xml:space="preserve"> and </w:t>
      </w:r>
      <w:r w:rsidR="00761F65" w:rsidRPr="00761F65">
        <w:t>re-estimating</w:t>
      </w:r>
    </w:p>
    <w:p w14:paraId="5F23A5BB" w14:textId="162BFC82" w:rsidR="006F3A32" w:rsidRPr="007502BD" w:rsidRDefault="001F5BA8" w:rsidP="006F3A32">
      <w:pPr>
        <w:keepLines/>
        <w:rPr>
          <w:color w:val="auto"/>
        </w:rPr>
      </w:pPr>
      <w:r w:rsidRPr="007502BD">
        <w:rPr>
          <w:color w:val="auto"/>
        </w:rPr>
        <w:t>Table 1.2 shows</w:t>
      </w:r>
      <w:r w:rsidR="006F3A32" w:rsidRPr="007502BD">
        <w:rPr>
          <w:color w:val="auto"/>
        </w:rPr>
        <w:t xml:space="preserve"> a sharp difference between tangency and value weights, with the unrestricted tangency portfolio reaching 462.588% gross exposure. These extreme positions raise concerns about estimation error in </w:t>
      </w:r>
      <m:oMath>
        <m:acc>
          <m:accPr>
            <m:ctrlPr>
              <w:rPr>
                <w:rFonts w:ascii="Cambria Math" w:hAnsi="Cambria Math"/>
                <w:i/>
                <w:color w:val="auto"/>
              </w:rPr>
            </m:ctrlPr>
          </m:accPr>
          <m:e>
            <m:r>
              <w:rPr>
                <w:rFonts w:ascii="Cambria Math" w:hAnsi="Cambria Math" w:hint="eastAsia"/>
                <w:color w:val="auto"/>
              </w:rPr>
              <m:t>μ</m:t>
            </m:r>
            <m:ctrlPr>
              <w:rPr>
                <w:rFonts w:ascii="Cambria Math" w:hAnsi="Cambria Math" w:hint="eastAsia"/>
                <w:i/>
                <w:color w:val="auto"/>
              </w:rPr>
            </m:ctrlPr>
          </m:e>
        </m:acc>
      </m:oMath>
      <w:r w:rsidR="006F3A32" w:rsidRPr="007502BD">
        <w:rPr>
          <w:color w:val="auto"/>
        </w:rPr>
        <w:t xml:space="preserve"> and </w:t>
      </w:r>
      <m:oMath>
        <m:acc>
          <m:accPr>
            <m:ctrlPr>
              <w:rPr>
                <w:rFonts w:ascii="Cambria Math" w:hAnsi="Cambria Math"/>
                <w:i/>
                <w:color w:val="auto"/>
              </w:rPr>
            </m:ctrlPr>
          </m:accPr>
          <m:e>
            <m:r>
              <w:rPr>
                <w:rFonts w:ascii="Cambria Math" w:hAnsi="Cambria Math" w:hint="eastAsia"/>
                <w:color w:val="auto"/>
              </w:rPr>
              <m:t>Σ</m:t>
            </m:r>
            <m:ctrlPr>
              <w:rPr>
                <w:rFonts w:ascii="Cambria Math" w:hAnsi="Cambria Math" w:hint="eastAsia"/>
                <w:i/>
                <w:color w:val="auto"/>
              </w:rPr>
            </m:ctrlPr>
          </m:e>
        </m:acc>
      </m:oMath>
      <w:r w:rsidR="006F3A32" w:rsidRPr="007502BD">
        <w:rPr>
          <w:color w:val="auto"/>
        </w:rPr>
        <w:t xml:space="preserve">. Errors in </w:t>
      </w:r>
      <m:oMath>
        <m:acc>
          <m:accPr>
            <m:ctrlPr>
              <w:rPr>
                <w:rFonts w:ascii="Cambria Math" w:hAnsi="Cambria Math"/>
                <w:i/>
                <w:color w:val="auto"/>
              </w:rPr>
            </m:ctrlPr>
          </m:accPr>
          <m:e>
            <m:r>
              <w:rPr>
                <w:rFonts w:ascii="Cambria Math" w:hAnsi="Cambria Math" w:hint="eastAsia"/>
                <w:color w:val="auto"/>
              </w:rPr>
              <m:t>μ</m:t>
            </m:r>
            <m:ctrlPr>
              <w:rPr>
                <w:rFonts w:ascii="Cambria Math" w:hAnsi="Cambria Math" w:hint="eastAsia"/>
                <w:i/>
                <w:color w:val="auto"/>
              </w:rPr>
            </m:ctrlPr>
          </m:e>
        </m:acc>
      </m:oMath>
      <w:r w:rsidR="006F3A32" w:rsidRPr="007502BD">
        <w:rPr>
          <w:color w:val="auto"/>
        </w:rPr>
        <w:t xml:space="preserve"> can lead the optimizer to favor stocks whose expected returns are overstated and short those whose returns are understated. Errors in </w:t>
      </w:r>
      <m:oMath>
        <m:acc>
          <m:accPr>
            <m:ctrlPr>
              <w:rPr>
                <w:rFonts w:ascii="Cambria Math" w:hAnsi="Cambria Math"/>
                <w:i/>
                <w:color w:val="auto"/>
              </w:rPr>
            </m:ctrlPr>
          </m:accPr>
          <m:e>
            <m:r>
              <w:rPr>
                <w:rFonts w:ascii="Cambria Math" w:hAnsi="Cambria Math" w:hint="eastAsia"/>
                <w:color w:val="auto"/>
              </w:rPr>
              <m:t>Σ</m:t>
            </m:r>
            <m:ctrlPr>
              <w:rPr>
                <w:rFonts w:ascii="Cambria Math" w:hAnsi="Cambria Math" w:hint="eastAsia"/>
                <w:i/>
                <w:color w:val="auto"/>
              </w:rPr>
            </m:ctrlPr>
          </m:e>
        </m:acc>
      </m:oMath>
      <w:r w:rsidR="006F3A32" w:rsidRPr="007502BD">
        <w:rPr>
          <w:color w:val="auto"/>
        </w:rPr>
        <w:t xml:space="preserve"> can distort estimated risk and hedging benefits, making large offsetting positions appear attractive. Since tangency weights depend on </w:t>
      </w:r>
      <m:oMath>
        <m:sSup>
          <m:sSupPr>
            <m:ctrlPr>
              <w:rPr>
                <w:rFonts w:ascii="Cambria Math" w:hAnsi="Cambria Math"/>
                <w:i/>
                <w:color w:val="auto"/>
              </w:rPr>
            </m:ctrlPr>
          </m:sSupPr>
          <m:e>
            <m:acc>
              <m:accPr>
                <m:ctrlPr>
                  <w:rPr>
                    <w:rFonts w:ascii="Cambria Math" w:hAnsi="Cambria Math"/>
                    <w:i/>
                    <w:color w:val="auto"/>
                  </w:rPr>
                </m:ctrlPr>
              </m:accPr>
              <m:e>
                <m:r>
                  <w:rPr>
                    <w:rFonts w:ascii="Cambria Math" w:hAnsi="Cambria Math" w:hint="eastAsia"/>
                    <w:color w:val="auto"/>
                  </w:rPr>
                  <m:t>Σ</m:t>
                </m:r>
                <m:ctrlPr>
                  <w:rPr>
                    <w:rFonts w:ascii="Cambria Math" w:hAnsi="Cambria Math" w:hint="eastAsia"/>
                    <w:i/>
                    <w:color w:val="auto"/>
                  </w:rPr>
                </m:ctrlPr>
              </m:e>
            </m:acc>
          </m:e>
          <m:sup>
            <m:r>
              <w:rPr>
                <w:rFonts w:ascii="Cambria Math" w:hAnsi="Cambria Math"/>
                <w:color w:val="auto"/>
              </w:rPr>
              <m:t>-1</m:t>
            </m:r>
          </m:sup>
        </m:sSup>
        <m:sSub>
          <m:sSubPr>
            <m:ctrlPr>
              <w:rPr>
                <w:rFonts w:ascii="Cambria Math" w:hAnsi="Cambria Math"/>
                <w:i/>
                <w:color w:val="auto"/>
              </w:rPr>
            </m:ctrlPr>
          </m:sSubPr>
          <m:e>
            <m:acc>
              <m:accPr>
                <m:ctrlPr>
                  <w:rPr>
                    <w:rFonts w:ascii="Cambria Math" w:hAnsi="Cambria Math"/>
                    <w:i/>
                    <w:color w:val="auto"/>
                  </w:rPr>
                </m:ctrlPr>
              </m:accPr>
              <m:e>
                <m:r>
                  <w:rPr>
                    <w:rFonts w:ascii="Cambria Math" w:hAnsi="Cambria Math"/>
                    <w:color w:val="auto"/>
                  </w:rPr>
                  <m:t>μ</m:t>
                </m:r>
              </m:e>
            </m:acc>
          </m:e>
          <m:sub>
            <m:r>
              <w:rPr>
                <w:rFonts w:ascii="Cambria Math" w:hAnsi="Cambria Math"/>
                <w:color w:val="auto"/>
              </w:rPr>
              <m:t>e</m:t>
            </m:r>
          </m:sub>
        </m:sSub>
      </m:oMath>
      <w:r w:rsidR="006F3A32" w:rsidRPr="007502BD">
        <w:rPr>
          <w:color w:val="auto"/>
        </w:rPr>
        <w:t>, covariance inversion can amplify these errors, particularly for stock combinations with low estimated variance. The optimizer may therefore exploit sampling noise. Its higher in-sample Sharpe ratio offers limited reassurance, because the same data are used to select and evaluate the weights.</w:t>
      </w:r>
    </w:p>
    <w:p w14:paraId="28E42BB1" w14:textId="3B5533CC" w:rsidR="00E027AE" w:rsidRDefault="00717BB7" w:rsidP="001F5BA8">
      <w:pPr>
        <w:pStyle w:val="af7"/>
        <w:keepNext/>
        <w:keepLines/>
        <w:spacing w:before="80" w:after="80"/>
        <w:jc w:val="center"/>
      </w:pPr>
      <w:r>
        <w:rPr>
          <w:rFonts w:cs="Calibri"/>
        </w:rPr>
        <w:t>Table 1.3 Re-estimation across time subsamples</w:t>
      </w:r>
    </w:p>
    <w:p w14:paraId="546CE909" w14:textId="3E209FE9" w:rsidR="00E027AE" w:rsidRDefault="006F3A32" w:rsidP="006F3A32">
      <w:pPr>
        <w:keepNext/>
      </w:pPr>
      <w:r>
        <w:rPr>
          <w:noProof/>
        </w:rPr>
        <w:drawing>
          <wp:inline distT="0" distB="0" distL="0" distR="0" wp14:anchorId="04A37953" wp14:editId="5F080D7C">
            <wp:extent cx="6172200" cy="3423489"/>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3423489"/>
                    </a:xfrm>
                    <a:prstGeom prst="rect">
                      <a:avLst/>
                    </a:prstGeom>
                  </pic:spPr>
                </pic:pic>
              </a:graphicData>
            </a:graphic>
          </wp:inline>
        </w:drawing>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1555"/>
        <w:gridCol w:w="1771"/>
        <w:gridCol w:w="1901"/>
        <w:gridCol w:w="1901"/>
      </w:tblGrid>
      <w:tr w:rsidR="00FF430E" w14:paraId="584C86AF"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5442B472" w14:textId="540DE961" w:rsidR="00FF430E" w:rsidRDefault="00A669A6" w:rsidP="00A669A6">
            <w:pPr>
              <w:spacing w:before="40" w:after="40" w:line="240" w:lineRule="auto"/>
            </w:pPr>
            <w:r>
              <w:rPr>
                <w:b/>
                <w:sz w:val="18"/>
              </w:rPr>
              <w:t>Portfolio</w:t>
            </w:r>
          </w:p>
        </w:tc>
        <w:tc>
          <w:tcPr>
            <w:tcW w:w="1555"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1E115D98" w14:textId="73F88516" w:rsidR="00FF430E" w:rsidRDefault="00FF430E" w:rsidP="00EE05E3">
            <w:pPr>
              <w:spacing w:before="40" w:after="40" w:line="240" w:lineRule="auto"/>
              <w:jc w:val="right"/>
            </w:pPr>
            <w:r>
              <w:rPr>
                <w:b/>
                <w:sz w:val="18"/>
              </w:rPr>
              <w:t>Mean %</w:t>
            </w:r>
          </w:p>
        </w:tc>
        <w:tc>
          <w:tcPr>
            <w:tcW w:w="1771"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1B406471" w14:textId="1B07420A" w:rsidR="00FF430E" w:rsidRDefault="00FF430E" w:rsidP="00EE05E3">
            <w:pPr>
              <w:spacing w:before="40" w:after="40" w:line="240" w:lineRule="auto"/>
              <w:jc w:val="right"/>
            </w:pPr>
            <w:r>
              <w:rPr>
                <w:b/>
                <w:sz w:val="18"/>
              </w:rPr>
              <w:t>Volatility %</w:t>
            </w:r>
          </w:p>
        </w:tc>
        <w:tc>
          <w:tcPr>
            <w:tcW w:w="1901"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1059FCD3" w14:textId="5F1E26FC" w:rsidR="00FF430E" w:rsidRDefault="00FF430E" w:rsidP="00EE05E3">
            <w:pPr>
              <w:spacing w:before="40" w:after="40" w:line="240" w:lineRule="auto"/>
              <w:jc w:val="right"/>
            </w:pPr>
            <w:r>
              <w:rPr>
                <w:b/>
                <w:sz w:val="18"/>
              </w:rPr>
              <w:t>Model Sharpe</w:t>
            </w:r>
          </w:p>
        </w:tc>
        <w:tc>
          <w:tcPr>
            <w:tcW w:w="1901"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6744DFD9" w14:textId="4F51FAE1" w:rsidR="00FF430E" w:rsidRDefault="00FF430E" w:rsidP="00EE05E3">
            <w:pPr>
              <w:spacing w:before="40" w:after="40" w:line="240" w:lineRule="auto"/>
              <w:jc w:val="right"/>
            </w:pPr>
            <w:r>
              <w:rPr>
                <w:b/>
                <w:sz w:val="18"/>
              </w:rPr>
              <w:t>Gross %</w:t>
            </w:r>
          </w:p>
        </w:tc>
      </w:tr>
      <w:tr w:rsidR="00FF430E" w14:paraId="2B0B1E59"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AD7D546" w14:textId="1D17AA93" w:rsidR="00FF430E" w:rsidRDefault="00056EC7" w:rsidP="00056EC7">
            <w:pPr>
              <w:spacing w:before="40" w:after="40" w:line="240" w:lineRule="auto"/>
            </w:pPr>
            <w:r>
              <w:rPr>
                <w:sz w:val="18"/>
              </w:rPr>
              <w:t>Full-sample tangency</w:t>
            </w:r>
          </w:p>
        </w:tc>
        <w:tc>
          <w:tcPr>
            <w:tcW w:w="1555"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151D8EE9" w14:textId="484A29B3" w:rsidR="00FF430E" w:rsidRDefault="00056EC7" w:rsidP="00056EC7">
            <w:pPr>
              <w:spacing w:before="40" w:after="40"/>
              <w:jc w:val="right"/>
            </w:pPr>
            <w:r>
              <w:rPr>
                <w:sz w:val="18"/>
              </w:rPr>
              <w:t>44.547</w:t>
            </w:r>
          </w:p>
        </w:tc>
        <w:tc>
          <w:tcPr>
            <w:tcW w:w="177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2A004821" w14:textId="73C75887" w:rsidR="00FF430E" w:rsidRDefault="00056EC7" w:rsidP="00056EC7">
            <w:pPr>
              <w:spacing w:before="40" w:after="40"/>
              <w:jc w:val="right"/>
            </w:pPr>
            <w:r>
              <w:rPr>
                <w:sz w:val="18"/>
              </w:rPr>
              <w:t>19.794</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67DBD867" w14:textId="1E2223C2" w:rsidR="00FF430E" w:rsidRDefault="00056EC7" w:rsidP="00056EC7">
            <w:pPr>
              <w:spacing w:before="40" w:after="40"/>
              <w:jc w:val="right"/>
            </w:pPr>
            <w:r>
              <w:rPr>
                <w:sz w:val="18"/>
              </w:rPr>
              <w:t>2.142</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7809CD05" w14:textId="2B3F94C4" w:rsidR="00FF430E" w:rsidRDefault="00056EC7" w:rsidP="00056EC7">
            <w:pPr>
              <w:spacing w:before="40" w:after="40"/>
              <w:jc w:val="right"/>
            </w:pPr>
            <w:r>
              <w:rPr>
                <w:sz w:val="18"/>
              </w:rPr>
              <w:t>462.588</w:t>
            </w:r>
          </w:p>
        </w:tc>
      </w:tr>
      <w:tr w:rsidR="00FF430E" w14:paraId="3963B5A7"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6497F49A" w14:textId="0A5BB69A" w:rsidR="00FF430E" w:rsidRDefault="00056EC7" w:rsidP="00056EC7">
            <w:pPr>
              <w:spacing w:before="40" w:after="40" w:line="240" w:lineRule="auto"/>
            </w:pPr>
            <w:r>
              <w:rPr>
                <w:sz w:val="18"/>
              </w:rPr>
              <w:t>First-half tangency</w:t>
            </w:r>
          </w:p>
        </w:tc>
        <w:tc>
          <w:tcPr>
            <w:tcW w:w="1555"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48FA198" w14:textId="66C72042" w:rsidR="00FF430E" w:rsidRDefault="00056EC7" w:rsidP="00056EC7">
            <w:pPr>
              <w:spacing w:before="40" w:after="40"/>
              <w:jc w:val="right"/>
            </w:pPr>
            <w:r>
              <w:rPr>
                <w:sz w:val="18"/>
              </w:rPr>
              <w:t>44.215</w:t>
            </w:r>
          </w:p>
        </w:tc>
        <w:tc>
          <w:tcPr>
            <w:tcW w:w="177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5372268" w14:textId="6CB63012" w:rsidR="00FF430E" w:rsidRDefault="00056EC7" w:rsidP="00056EC7">
            <w:pPr>
              <w:spacing w:before="40" w:after="40"/>
              <w:jc w:val="right"/>
            </w:pPr>
            <w:r>
              <w:rPr>
                <w:sz w:val="18"/>
              </w:rPr>
              <w:t>13.739</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2F2FAF9F" w14:textId="6F210609" w:rsidR="00FF430E" w:rsidRDefault="00056EC7" w:rsidP="00056EC7">
            <w:pPr>
              <w:spacing w:before="40" w:after="40"/>
              <w:jc w:val="right"/>
            </w:pPr>
            <w:r>
              <w:rPr>
                <w:sz w:val="18"/>
              </w:rPr>
              <w:t>3.146</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5371374F" w14:textId="2B57709B" w:rsidR="00FF430E" w:rsidRDefault="00056EC7" w:rsidP="00056EC7">
            <w:pPr>
              <w:spacing w:before="40" w:after="40"/>
              <w:jc w:val="right"/>
            </w:pPr>
            <w:r>
              <w:rPr>
                <w:sz w:val="18"/>
              </w:rPr>
              <w:t>612.580</w:t>
            </w:r>
          </w:p>
        </w:tc>
      </w:tr>
      <w:tr w:rsidR="00056EC7" w14:paraId="67E48DD4"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6F3973FA" w14:textId="5487C113" w:rsidR="00056EC7" w:rsidRDefault="00056EC7" w:rsidP="00056EC7">
            <w:pPr>
              <w:spacing w:before="40" w:after="40" w:line="240" w:lineRule="auto"/>
              <w:rPr>
                <w:sz w:val="18"/>
              </w:rPr>
            </w:pPr>
            <w:r>
              <w:rPr>
                <w:sz w:val="18"/>
              </w:rPr>
              <w:t>Second-half tangency</w:t>
            </w:r>
          </w:p>
        </w:tc>
        <w:tc>
          <w:tcPr>
            <w:tcW w:w="1555"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A233542" w14:textId="7706DCC7" w:rsidR="00056EC7" w:rsidRDefault="00056EC7" w:rsidP="00056EC7">
            <w:pPr>
              <w:spacing w:before="40" w:after="40"/>
              <w:jc w:val="right"/>
              <w:rPr>
                <w:sz w:val="18"/>
              </w:rPr>
            </w:pPr>
            <w:r>
              <w:rPr>
                <w:sz w:val="18"/>
              </w:rPr>
              <w:t>84.477</w:t>
            </w:r>
          </w:p>
        </w:tc>
        <w:tc>
          <w:tcPr>
            <w:tcW w:w="177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3BEED23" w14:textId="5D50A731" w:rsidR="00056EC7" w:rsidRDefault="00056EC7" w:rsidP="00056EC7">
            <w:pPr>
              <w:spacing w:before="40" w:after="40"/>
              <w:jc w:val="right"/>
              <w:rPr>
                <w:sz w:val="18"/>
              </w:rPr>
            </w:pPr>
            <w:r>
              <w:rPr>
                <w:sz w:val="18"/>
              </w:rPr>
              <w:t>23.051</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4E9C081E" w14:textId="7A2AE807" w:rsidR="00056EC7" w:rsidRDefault="00056EC7" w:rsidP="00056EC7">
            <w:pPr>
              <w:spacing w:before="40" w:after="40"/>
              <w:jc w:val="right"/>
              <w:rPr>
                <w:sz w:val="18"/>
              </w:rPr>
            </w:pPr>
            <w:r>
              <w:rPr>
                <w:sz w:val="18"/>
              </w:rPr>
              <w:t>3.521</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52F04DC6" w14:textId="5B143D97" w:rsidR="00056EC7" w:rsidRDefault="00056EC7" w:rsidP="00056EC7">
            <w:pPr>
              <w:spacing w:before="40" w:after="40"/>
              <w:jc w:val="right"/>
              <w:rPr>
                <w:sz w:val="18"/>
              </w:rPr>
            </w:pPr>
            <w:r>
              <w:rPr>
                <w:sz w:val="18"/>
              </w:rPr>
              <w:t>772.765</w:t>
            </w:r>
          </w:p>
        </w:tc>
      </w:tr>
    </w:tbl>
    <w:p w14:paraId="7134DFE6" w14:textId="6FB024E1" w:rsidR="00E027AE" w:rsidRPr="007502BD" w:rsidRDefault="006F3A32" w:rsidP="006F3A32">
      <w:pPr>
        <w:rPr>
          <w:color w:val="auto"/>
        </w:rPr>
      </w:pPr>
      <w:r w:rsidRPr="007502BD">
        <w:rPr>
          <w:color w:val="auto"/>
        </w:rPr>
        <w:t xml:space="preserve">To examine sensitivity to the estimation sample, we re-estimate mean returns, covariance and average risk-free returns for the same 29 stocks in two 65-month windows. The resulting weights differ substantially: 17 stocks change sign, and the weight vectors correlate only 0.106. These changes indicate that the estimated tangency allocation depends heavily on the chosen sample, consistent with the optimizer amplifying differences in estimated returns and covariance. Applying the first-half weights to second-half returns also reduces model Sharpe from 3.146 to 0.432, showing that the fitted allocation transfers poorly across these periods. Sampling error and differences in market conditions across periods can both contribute, so this exercise does not </w:t>
      </w:r>
      <w:r w:rsidR="007502BD" w:rsidRPr="002E6707">
        <w:rPr>
          <w:rFonts w:eastAsia="宋体" w:hint="eastAsia"/>
          <w:lang w:eastAsia="zh-CN"/>
        </w:rPr>
        <w:t>completely identify</w:t>
      </w:r>
      <w:r w:rsidRPr="007502BD">
        <w:rPr>
          <w:color w:val="auto"/>
        </w:rPr>
        <w:t xml:space="preserve"> the effects of mean and covariance estimation errors.</w:t>
      </w:r>
    </w:p>
    <w:p w14:paraId="17FA6D1B" w14:textId="7650DB57" w:rsidR="00EE05E3" w:rsidRDefault="00717BB7" w:rsidP="001F5BA8">
      <w:pPr>
        <w:pStyle w:val="af7"/>
        <w:keepNext/>
        <w:keepLines/>
        <w:spacing w:before="80" w:after="80"/>
        <w:jc w:val="center"/>
      </w:pPr>
      <w:r>
        <w:rPr>
          <w:rFonts w:cs="Calibri"/>
        </w:rPr>
        <w:t>Table 1.4 Re-estimation across asset universes</w:t>
      </w:r>
    </w:p>
    <w:p w14:paraId="04F95923" w14:textId="721529C6" w:rsidR="00EE05E3" w:rsidRDefault="00056EC7" w:rsidP="00056EC7">
      <w:pPr>
        <w:keepNext/>
        <w:keepLines/>
      </w:pPr>
      <w:r>
        <w:rPr>
          <w:noProof/>
        </w:rPr>
        <w:drawing>
          <wp:inline distT="0" distB="0" distL="0" distR="0" wp14:anchorId="30F07543" wp14:editId="5625DE03">
            <wp:extent cx="6172200" cy="3635965"/>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0"/>
                    <a:stretch>
                      <a:fillRect/>
                    </a:stretch>
                  </pic:blipFill>
                  <pic:spPr>
                    <a:xfrm>
                      <a:off x="0" y="0"/>
                      <a:ext cx="6172200" cy="3635965"/>
                    </a:xfrm>
                    <a:prstGeom prst="rect">
                      <a:avLst/>
                    </a:prstGeom>
                  </pic:spPr>
                </pic:pic>
              </a:graphicData>
            </a:graphic>
          </wp:inline>
        </w:drawing>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1555"/>
        <w:gridCol w:w="1771"/>
        <w:gridCol w:w="1901"/>
        <w:gridCol w:w="1901"/>
      </w:tblGrid>
      <w:tr w:rsidR="00EE05E3" w14:paraId="460EEAA9"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1B4FD8D6" w14:textId="77777777" w:rsidR="00EE05E3" w:rsidRDefault="00EE05E3" w:rsidP="00A669A6">
            <w:pPr>
              <w:spacing w:before="40" w:after="40" w:line="240" w:lineRule="auto"/>
            </w:pPr>
            <w:r>
              <w:rPr>
                <w:b/>
                <w:sz w:val="18"/>
              </w:rPr>
              <w:t>Portfolio</w:t>
            </w:r>
          </w:p>
        </w:tc>
        <w:tc>
          <w:tcPr>
            <w:tcW w:w="1555"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613E4C47" w14:textId="77777777" w:rsidR="00EE05E3" w:rsidRDefault="00EE05E3" w:rsidP="00EE05E3">
            <w:pPr>
              <w:spacing w:before="40" w:after="40" w:line="240" w:lineRule="auto"/>
              <w:jc w:val="right"/>
            </w:pPr>
            <w:r>
              <w:rPr>
                <w:b/>
                <w:sz w:val="18"/>
              </w:rPr>
              <w:t>Mean %</w:t>
            </w:r>
          </w:p>
        </w:tc>
        <w:tc>
          <w:tcPr>
            <w:tcW w:w="1771"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2E012506" w14:textId="77777777" w:rsidR="00EE05E3" w:rsidRDefault="00EE05E3" w:rsidP="00EE05E3">
            <w:pPr>
              <w:spacing w:before="40" w:after="40" w:line="240" w:lineRule="auto"/>
              <w:jc w:val="right"/>
            </w:pPr>
            <w:r>
              <w:rPr>
                <w:b/>
                <w:sz w:val="18"/>
              </w:rPr>
              <w:t>Volatility %</w:t>
            </w:r>
          </w:p>
        </w:tc>
        <w:tc>
          <w:tcPr>
            <w:tcW w:w="1901"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7CF619DD" w14:textId="77777777" w:rsidR="00EE05E3" w:rsidRDefault="00EE05E3" w:rsidP="00EE05E3">
            <w:pPr>
              <w:spacing w:before="40" w:after="40" w:line="240" w:lineRule="auto"/>
              <w:jc w:val="right"/>
            </w:pPr>
            <w:r>
              <w:rPr>
                <w:b/>
                <w:sz w:val="18"/>
              </w:rPr>
              <w:t>Model Sharpe</w:t>
            </w:r>
          </w:p>
        </w:tc>
        <w:tc>
          <w:tcPr>
            <w:tcW w:w="1901" w:type="dxa"/>
            <w:tcBorders>
              <w:top w:val="single" w:sz="4" w:space="0" w:color="D9D9D9"/>
              <w:left w:val="single" w:sz="4" w:space="0" w:color="D9D9D9"/>
              <w:bottom w:val="single" w:sz="4" w:space="0" w:color="D9D9D9"/>
              <w:right w:val="single" w:sz="4" w:space="0" w:color="D9D9D9"/>
            </w:tcBorders>
            <w:shd w:val="clear" w:color="auto" w:fill="E8EDF1"/>
            <w:tcMar>
              <w:top w:w="60" w:type="dxa"/>
              <w:left w:w="60" w:type="dxa"/>
              <w:bottom w:w="60" w:type="dxa"/>
              <w:right w:w="60" w:type="dxa"/>
            </w:tcMar>
            <w:vAlign w:val="center"/>
          </w:tcPr>
          <w:p w14:paraId="084B2674" w14:textId="77777777" w:rsidR="00EE05E3" w:rsidRDefault="00EE05E3" w:rsidP="00EE05E3">
            <w:pPr>
              <w:spacing w:before="40" w:after="40" w:line="240" w:lineRule="auto"/>
              <w:jc w:val="right"/>
            </w:pPr>
            <w:r>
              <w:rPr>
                <w:b/>
                <w:sz w:val="18"/>
              </w:rPr>
              <w:t>Gross %</w:t>
            </w:r>
          </w:p>
        </w:tc>
      </w:tr>
      <w:tr w:rsidR="00EE05E3" w14:paraId="76EC313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454D29EA" w14:textId="126F141A" w:rsidR="00EE05E3" w:rsidRDefault="00EE05E3" w:rsidP="00A669A6">
            <w:pPr>
              <w:spacing w:before="40" w:after="40" w:line="240" w:lineRule="auto"/>
            </w:pPr>
            <w:r>
              <w:rPr>
                <w:sz w:val="18"/>
              </w:rPr>
              <w:t>All 29 tangency</w:t>
            </w:r>
          </w:p>
        </w:tc>
        <w:tc>
          <w:tcPr>
            <w:tcW w:w="1555"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C4DCBA7" w14:textId="4C43CC9B" w:rsidR="00EE05E3" w:rsidRDefault="00EE05E3" w:rsidP="00EE05E3">
            <w:pPr>
              <w:spacing w:before="40" w:after="40"/>
              <w:jc w:val="right"/>
            </w:pPr>
            <w:r>
              <w:rPr>
                <w:sz w:val="18"/>
              </w:rPr>
              <w:t>44.547</w:t>
            </w:r>
          </w:p>
        </w:tc>
        <w:tc>
          <w:tcPr>
            <w:tcW w:w="177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F8A90C0" w14:textId="7692413D" w:rsidR="00EE05E3" w:rsidRDefault="00EE05E3" w:rsidP="00EE05E3">
            <w:pPr>
              <w:spacing w:before="40" w:after="40"/>
              <w:jc w:val="right"/>
            </w:pPr>
            <w:r>
              <w:rPr>
                <w:sz w:val="18"/>
              </w:rPr>
              <w:t>19.794</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51DFC960" w14:textId="4C670915" w:rsidR="00EE05E3" w:rsidRDefault="00EE05E3" w:rsidP="00EE05E3">
            <w:pPr>
              <w:spacing w:before="40" w:after="40"/>
              <w:jc w:val="right"/>
            </w:pPr>
            <w:r>
              <w:rPr>
                <w:sz w:val="18"/>
              </w:rPr>
              <w:t>2.142</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113D477D" w14:textId="15A11DC7" w:rsidR="00EE05E3" w:rsidRDefault="00EE05E3" w:rsidP="00EE05E3">
            <w:pPr>
              <w:spacing w:before="40" w:after="40"/>
              <w:jc w:val="right"/>
            </w:pPr>
            <w:r>
              <w:rPr>
                <w:sz w:val="18"/>
              </w:rPr>
              <w:t>462.588</w:t>
            </w:r>
          </w:p>
        </w:tc>
      </w:tr>
      <w:tr w:rsidR="00EE05E3" w14:paraId="76B6BC3B"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5E281A23" w14:textId="5AC4C76B" w:rsidR="00EE05E3" w:rsidRDefault="00EE05E3" w:rsidP="00A669A6">
            <w:pPr>
              <w:spacing w:before="40" w:after="40" w:line="240" w:lineRule="auto"/>
            </w:pPr>
            <w:r>
              <w:rPr>
                <w:sz w:val="18"/>
              </w:rPr>
              <w:t>Retained 23 tangency</w:t>
            </w:r>
          </w:p>
        </w:tc>
        <w:tc>
          <w:tcPr>
            <w:tcW w:w="1555"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437F9BF0" w14:textId="43808693" w:rsidR="00EE05E3" w:rsidRDefault="00EE05E3" w:rsidP="00EE05E3">
            <w:pPr>
              <w:spacing w:before="40" w:after="40"/>
              <w:jc w:val="right"/>
            </w:pPr>
            <w:r>
              <w:rPr>
                <w:sz w:val="18"/>
              </w:rPr>
              <w:t>40.144</w:t>
            </w:r>
          </w:p>
        </w:tc>
        <w:tc>
          <w:tcPr>
            <w:tcW w:w="177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118E1D42" w14:textId="7E22102B" w:rsidR="00EE05E3" w:rsidRDefault="00EE05E3" w:rsidP="00EE05E3">
            <w:pPr>
              <w:spacing w:before="40" w:after="40"/>
              <w:jc w:val="right"/>
            </w:pPr>
            <w:r>
              <w:rPr>
                <w:sz w:val="18"/>
              </w:rPr>
              <w:t>18.350</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14052301" w14:textId="74C19441" w:rsidR="00EE05E3" w:rsidRDefault="00EE05E3" w:rsidP="00EE05E3">
            <w:pPr>
              <w:spacing w:before="40" w:after="40"/>
              <w:jc w:val="right"/>
            </w:pPr>
            <w:r>
              <w:rPr>
                <w:sz w:val="18"/>
              </w:rPr>
              <w:t>2.071</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241C8F6B" w14:textId="515427FD" w:rsidR="00EE05E3" w:rsidRDefault="00EE05E3" w:rsidP="00EE05E3">
            <w:pPr>
              <w:spacing w:before="40" w:after="40"/>
              <w:jc w:val="right"/>
            </w:pPr>
            <w:r>
              <w:rPr>
                <w:sz w:val="18"/>
              </w:rPr>
              <w:t>376.473</w:t>
            </w:r>
          </w:p>
        </w:tc>
      </w:tr>
      <w:tr w:rsidR="00CA7239" w14:paraId="0E74DD2A"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B5AFDD2" w14:textId="34555047" w:rsidR="00CA7239" w:rsidRDefault="00CA7239" w:rsidP="00CA7239">
            <w:pPr>
              <w:spacing w:before="40" w:after="40" w:line="240" w:lineRule="auto"/>
              <w:rPr>
                <w:sz w:val="18"/>
              </w:rPr>
            </w:pPr>
            <w:r>
              <w:rPr>
                <w:sz w:val="18"/>
              </w:rPr>
              <w:t>Later-removal 6 tangency</w:t>
            </w:r>
          </w:p>
        </w:tc>
        <w:tc>
          <w:tcPr>
            <w:tcW w:w="1555"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CC80A80" w14:textId="47F57A3A" w:rsidR="00CA7239" w:rsidRDefault="00CA7239" w:rsidP="00CA7239">
            <w:pPr>
              <w:spacing w:before="40" w:after="40"/>
              <w:jc w:val="right"/>
              <w:rPr>
                <w:sz w:val="18"/>
              </w:rPr>
            </w:pPr>
            <w:r>
              <w:rPr>
                <w:sz w:val="18"/>
              </w:rPr>
              <w:t>17.298</w:t>
            </w:r>
          </w:p>
        </w:tc>
        <w:tc>
          <w:tcPr>
            <w:tcW w:w="177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6147A697" w14:textId="2F5ED305" w:rsidR="00CA7239" w:rsidRDefault="00CA7239" w:rsidP="00CA7239">
            <w:pPr>
              <w:spacing w:before="40" w:after="40"/>
              <w:jc w:val="right"/>
              <w:rPr>
                <w:sz w:val="18"/>
              </w:rPr>
            </w:pPr>
            <w:r>
              <w:rPr>
                <w:sz w:val="18"/>
              </w:rPr>
              <w:t>20.907</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14CEE3BF" w14:textId="63D23963" w:rsidR="00CA7239" w:rsidRDefault="00CA7239" w:rsidP="00CA7239">
            <w:pPr>
              <w:spacing w:before="40" w:after="40"/>
              <w:jc w:val="right"/>
              <w:rPr>
                <w:sz w:val="18"/>
              </w:rPr>
            </w:pPr>
            <w:r>
              <w:rPr>
                <w:sz w:val="18"/>
              </w:rPr>
              <w:t>0.725</w:t>
            </w:r>
          </w:p>
        </w:tc>
        <w:tc>
          <w:tcPr>
            <w:tcW w:w="1901"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6003D7A6" w14:textId="12F06B40" w:rsidR="00CA7239" w:rsidRDefault="00CA7239" w:rsidP="00CA7239">
            <w:pPr>
              <w:spacing w:before="40" w:after="40"/>
              <w:jc w:val="right"/>
              <w:rPr>
                <w:sz w:val="18"/>
              </w:rPr>
            </w:pPr>
            <w:r>
              <w:rPr>
                <w:sz w:val="18"/>
              </w:rPr>
              <w:t>102.224</w:t>
            </w:r>
          </w:p>
        </w:tc>
      </w:tr>
    </w:tbl>
    <w:p w14:paraId="0A61206F" w14:textId="1287F561" w:rsidR="00EE05E3" w:rsidRPr="007502BD" w:rsidRDefault="006F3A32" w:rsidP="006F3A32">
      <w:pPr>
        <w:keepLines/>
        <w:rPr>
          <w:color w:val="auto"/>
        </w:rPr>
      </w:pPr>
      <w:r w:rsidRPr="007502BD">
        <w:rPr>
          <w:color w:val="auto"/>
        </w:rPr>
        <w:t>We also examine sensitivity to asset selection by estimating tangency portfolios for all 29 stocks, the retained 23 and the six later index removals over the same 130 months. The estimated means and pairwise covariances of common stocks remain unchanged, but removing assets changes the covariance matrix being inverted and the available hedging opportunities. Across the 23 common stocks, weights correlate 0.983 and only two change sign, indicating relative stability under this particular universe change. The six-stock portfolio has a fitted Sharpe ratio of 0.725, compared with 2.071 for the retained 23. This difference is better interpreted as reflecting distinct investment opportunity sets rather than directly indicating the relative size of estimation errors. The comparison therefore complements the time-subsample exercise by assessing how the allocation depends on the assets included.</w:t>
      </w:r>
    </w:p>
    <w:sectPr w:rsidR="00EE05E3" w:rsidRPr="007502BD" w:rsidSect="00034616">
      <w:headerReference w:type="default" r:id="rId11"/>
      <w:footerReference w:type="default" r:id="rId12"/>
      <w:pgSz w:w="12240" w:h="15840"/>
      <w:pgMar w:top="936" w:right="1080" w:bottom="936" w:left="1080"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2AA5F" w14:textId="77777777" w:rsidR="0084325D" w:rsidRDefault="0084325D">
      <w:pPr>
        <w:spacing w:after="0" w:line="240" w:lineRule="auto"/>
      </w:pPr>
      <w:r>
        <w:separator/>
      </w:r>
    </w:p>
  </w:endnote>
  <w:endnote w:type="continuationSeparator" w:id="0">
    <w:p w14:paraId="3AD6E99A" w14:textId="77777777" w:rsidR="0084325D" w:rsidRDefault="00843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F2D94" w14:textId="77777777" w:rsidR="00E027AE" w:rsidRDefault="00B52210">
    <w:pPr>
      <w:pStyle w:val="a7"/>
      <w:jc w:val="right"/>
    </w:pPr>
    <w:r>
      <w:rPr>
        <w:sz w:val="16"/>
      </w:rPr>
      <w:t xml:space="preserve">Stage 1  |  </w:t>
    </w:r>
    <w:r>
      <w:fldChar w:fldCharType="begin"/>
    </w:r>
    <w:r>
      <w:instrText>PAGE</w:instrText>
    </w:r>
    <w:r>
      <w:fldChar w:fldCharType="separate"/>
    </w:r>
    <w:r w:rsidR="004712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81837" w14:textId="77777777" w:rsidR="0084325D" w:rsidRDefault="0084325D">
      <w:pPr>
        <w:spacing w:after="0" w:line="240" w:lineRule="auto"/>
      </w:pPr>
      <w:r>
        <w:separator/>
      </w:r>
    </w:p>
  </w:footnote>
  <w:footnote w:type="continuationSeparator" w:id="0">
    <w:p w14:paraId="745BFA5F" w14:textId="77777777" w:rsidR="0084325D" w:rsidRDefault="0084325D">
      <w:pPr>
        <w:spacing w:after="0" w:line="240" w:lineRule="auto"/>
      </w:pPr>
      <w:r>
        <w:continuationSeparator/>
      </w:r>
    </w:p>
  </w:footnote>
  <w:footnote w:id="1">
    <w:p w14:paraId="7209E71C" w14:textId="0FF5715B" w:rsidR="00B2281E" w:rsidRPr="00B2281E" w:rsidRDefault="00B2281E" w:rsidP="00B2281E">
      <w:pPr>
        <w:pStyle w:val="affe"/>
        <w:spacing w:after="0" w:line="240" w:lineRule="auto"/>
        <w:rPr>
          <w:rFonts w:eastAsia="宋体"/>
          <w:lang w:eastAsia="zh-CN"/>
        </w:rPr>
      </w:pPr>
      <w:r>
        <w:rPr>
          <w:rStyle w:val="afff0"/>
        </w:rPr>
        <w:footnoteRef/>
      </w:r>
      <w:r>
        <w:t xml:space="preserve"> </w:t>
      </w:r>
      <w:r w:rsidRPr="00B2281E">
        <w:rPr>
          <w:rFonts w:eastAsia="宋体" w:cs="Calibri"/>
          <w:lang w:eastAsia="zh-CN"/>
        </w:rPr>
        <w:t>GE, XOM, PFE, UTX (later RTX), INTC and VZ.</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B28B7" w14:textId="77777777" w:rsidR="00E027AE" w:rsidRDefault="00B52210">
    <w:pPr>
      <w:pStyle w:val="a5"/>
    </w:pPr>
    <w:r>
      <w:rPr>
        <w:sz w:val="16"/>
      </w:rPr>
      <w:t>FE5108  |  Group project  |  Stage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271533">
    <w:abstractNumId w:val="8"/>
  </w:num>
  <w:num w:numId="2" w16cid:durableId="1389498991">
    <w:abstractNumId w:val="6"/>
  </w:num>
  <w:num w:numId="3" w16cid:durableId="1404253558">
    <w:abstractNumId w:val="5"/>
  </w:num>
  <w:num w:numId="4" w16cid:durableId="881942957">
    <w:abstractNumId w:val="4"/>
  </w:num>
  <w:num w:numId="5" w16cid:durableId="1640382486">
    <w:abstractNumId w:val="7"/>
  </w:num>
  <w:num w:numId="6" w16cid:durableId="530192000">
    <w:abstractNumId w:val="3"/>
  </w:num>
  <w:num w:numId="7" w16cid:durableId="865287814">
    <w:abstractNumId w:val="2"/>
  </w:num>
  <w:num w:numId="8" w16cid:durableId="568467000">
    <w:abstractNumId w:val="1"/>
  </w:num>
  <w:num w:numId="9" w16cid:durableId="64379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CFC"/>
    <w:rsid w:val="00034616"/>
    <w:rsid w:val="00056EC7"/>
    <w:rsid w:val="000603CD"/>
    <w:rsid w:val="0006063C"/>
    <w:rsid w:val="00061E0F"/>
    <w:rsid w:val="00075DB7"/>
    <w:rsid w:val="00084241"/>
    <w:rsid w:val="000C498D"/>
    <w:rsid w:val="0011704F"/>
    <w:rsid w:val="0015074B"/>
    <w:rsid w:val="001650BE"/>
    <w:rsid w:val="001C5B8F"/>
    <w:rsid w:val="001F5BA8"/>
    <w:rsid w:val="002200B0"/>
    <w:rsid w:val="00230C0B"/>
    <w:rsid w:val="00247AEC"/>
    <w:rsid w:val="0029639D"/>
    <w:rsid w:val="002B5FE0"/>
    <w:rsid w:val="002E6707"/>
    <w:rsid w:val="00302406"/>
    <w:rsid w:val="00324FF9"/>
    <w:rsid w:val="00326F90"/>
    <w:rsid w:val="003555F1"/>
    <w:rsid w:val="00387919"/>
    <w:rsid w:val="003916D6"/>
    <w:rsid w:val="003D67B0"/>
    <w:rsid w:val="003E46D5"/>
    <w:rsid w:val="003F0A0E"/>
    <w:rsid w:val="00444C88"/>
    <w:rsid w:val="004712B8"/>
    <w:rsid w:val="0047154F"/>
    <w:rsid w:val="0048142B"/>
    <w:rsid w:val="004C0CA3"/>
    <w:rsid w:val="004C66E7"/>
    <w:rsid w:val="004C7A06"/>
    <w:rsid w:val="004D7CE2"/>
    <w:rsid w:val="00535AE2"/>
    <w:rsid w:val="00537756"/>
    <w:rsid w:val="00557CEB"/>
    <w:rsid w:val="00560462"/>
    <w:rsid w:val="005A00D8"/>
    <w:rsid w:val="005E2C9A"/>
    <w:rsid w:val="005F6C85"/>
    <w:rsid w:val="006A738F"/>
    <w:rsid w:val="006B0E80"/>
    <w:rsid w:val="006C69D9"/>
    <w:rsid w:val="006F3A32"/>
    <w:rsid w:val="007132CC"/>
    <w:rsid w:val="00717BB7"/>
    <w:rsid w:val="00747757"/>
    <w:rsid w:val="007502BD"/>
    <w:rsid w:val="00751154"/>
    <w:rsid w:val="00757FA7"/>
    <w:rsid w:val="00761F65"/>
    <w:rsid w:val="007F7AB8"/>
    <w:rsid w:val="00813A64"/>
    <w:rsid w:val="0084325D"/>
    <w:rsid w:val="00897A63"/>
    <w:rsid w:val="008B1C58"/>
    <w:rsid w:val="008B3B42"/>
    <w:rsid w:val="009047DA"/>
    <w:rsid w:val="00912D8F"/>
    <w:rsid w:val="00936DF1"/>
    <w:rsid w:val="00962FC8"/>
    <w:rsid w:val="0097174D"/>
    <w:rsid w:val="009901BE"/>
    <w:rsid w:val="009A7E9F"/>
    <w:rsid w:val="009F49A6"/>
    <w:rsid w:val="00A125DE"/>
    <w:rsid w:val="00A24540"/>
    <w:rsid w:val="00A25C83"/>
    <w:rsid w:val="00A37C97"/>
    <w:rsid w:val="00A51672"/>
    <w:rsid w:val="00A669A6"/>
    <w:rsid w:val="00AA04C6"/>
    <w:rsid w:val="00AA1D8D"/>
    <w:rsid w:val="00AB0381"/>
    <w:rsid w:val="00AF417B"/>
    <w:rsid w:val="00B2281E"/>
    <w:rsid w:val="00B47730"/>
    <w:rsid w:val="00B52210"/>
    <w:rsid w:val="00B71894"/>
    <w:rsid w:val="00BB26DB"/>
    <w:rsid w:val="00BD544A"/>
    <w:rsid w:val="00C5058B"/>
    <w:rsid w:val="00C609A5"/>
    <w:rsid w:val="00CA7239"/>
    <w:rsid w:val="00CB0664"/>
    <w:rsid w:val="00D024D4"/>
    <w:rsid w:val="00D40080"/>
    <w:rsid w:val="00D54F6D"/>
    <w:rsid w:val="00D779E8"/>
    <w:rsid w:val="00D80CBD"/>
    <w:rsid w:val="00E027AE"/>
    <w:rsid w:val="00E06B27"/>
    <w:rsid w:val="00E165B3"/>
    <w:rsid w:val="00E23CB3"/>
    <w:rsid w:val="00E3240B"/>
    <w:rsid w:val="00E42280"/>
    <w:rsid w:val="00E7748A"/>
    <w:rsid w:val="00EB746B"/>
    <w:rsid w:val="00EC1783"/>
    <w:rsid w:val="00EC32F5"/>
    <w:rsid w:val="00EE05E3"/>
    <w:rsid w:val="00F721EC"/>
    <w:rsid w:val="00FA0902"/>
    <w:rsid w:val="00FC693F"/>
    <w:rsid w:val="00FF430E"/>
    <w:rsid w:val="00FF6C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4E7000"/>
  <w14:defaultImageDpi w14:val="300"/>
  <w15:docId w15:val="{DD1E9B96-67AF-44CC-9DE4-7131DBF2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2" w:lineRule="auto"/>
    </w:pPr>
    <w:rPr>
      <w:rFonts w:ascii="Calibri" w:hAnsi="Calibri"/>
      <w:color w:val="000000"/>
    </w:rPr>
  </w:style>
  <w:style w:type="paragraph" w:styleId="1">
    <w:name w:val="heading 1"/>
    <w:basedOn w:val="a1"/>
    <w:next w:val="a1"/>
    <w:link w:val="10"/>
    <w:uiPriority w:val="9"/>
    <w:qFormat/>
    <w:rsid w:val="00FC693F"/>
    <w:pPr>
      <w:keepNext/>
      <w:keepLines/>
      <w:spacing w:after="16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line="240" w:lineRule="auto"/>
      <w:contextualSpacing/>
    </w:pPr>
    <w:rPr>
      <w:rFonts w:asciiTheme="majorHAnsi" w:eastAsiaTheme="majorEastAsia" w:hAnsiTheme="majorHAnsi" w:cstheme="majorBidi"/>
      <w:b/>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027CFC"/>
    <w:rPr>
      <w:sz w:val="21"/>
      <w:szCs w:val="21"/>
    </w:rPr>
  </w:style>
  <w:style w:type="paragraph" w:styleId="affa">
    <w:name w:val="annotation text"/>
    <w:basedOn w:val="a1"/>
    <w:link w:val="affb"/>
    <w:uiPriority w:val="99"/>
    <w:semiHidden/>
    <w:unhideWhenUsed/>
    <w:rsid w:val="00027CFC"/>
  </w:style>
  <w:style w:type="character" w:customStyle="1" w:styleId="affb">
    <w:name w:val="批注文字 字符"/>
    <w:basedOn w:val="a2"/>
    <w:link w:val="affa"/>
    <w:uiPriority w:val="99"/>
    <w:semiHidden/>
    <w:rsid w:val="00027CFC"/>
    <w:rPr>
      <w:rFonts w:ascii="Calibri" w:hAnsi="Calibri"/>
      <w:color w:val="000000"/>
    </w:rPr>
  </w:style>
  <w:style w:type="paragraph" w:styleId="affc">
    <w:name w:val="annotation subject"/>
    <w:basedOn w:val="affa"/>
    <w:next w:val="affa"/>
    <w:link w:val="affd"/>
    <w:uiPriority w:val="99"/>
    <w:semiHidden/>
    <w:unhideWhenUsed/>
    <w:rsid w:val="00027CFC"/>
    <w:rPr>
      <w:b/>
      <w:bCs/>
    </w:rPr>
  </w:style>
  <w:style w:type="character" w:customStyle="1" w:styleId="affd">
    <w:name w:val="批注主题 字符"/>
    <w:basedOn w:val="affb"/>
    <w:link w:val="affc"/>
    <w:uiPriority w:val="99"/>
    <w:semiHidden/>
    <w:rsid w:val="00027CFC"/>
    <w:rPr>
      <w:rFonts w:ascii="Calibri" w:hAnsi="Calibri"/>
      <w:b/>
      <w:bCs/>
      <w:color w:val="000000"/>
    </w:rPr>
  </w:style>
  <w:style w:type="paragraph" w:styleId="affe">
    <w:name w:val="footnote text"/>
    <w:basedOn w:val="a1"/>
    <w:link w:val="afff"/>
    <w:uiPriority w:val="99"/>
    <w:semiHidden/>
    <w:unhideWhenUsed/>
    <w:rsid w:val="00B2281E"/>
    <w:pPr>
      <w:snapToGrid w:val="0"/>
    </w:pPr>
    <w:rPr>
      <w:sz w:val="18"/>
      <w:szCs w:val="18"/>
    </w:rPr>
  </w:style>
  <w:style w:type="character" w:customStyle="1" w:styleId="afff">
    <w:name w:val="脚注文本 字符"/>
    <w:basedOn w:val="a2"/>
    <w:link w:val="affe"/>
    <w:uiPriority w:val="99"/>
    <w:semiHidden/>
    <w:rsid w:val="00B2281E"/>
    <w:rPr>
      <w:rFonts w:ascii="Calibri" w:hAnsi="Calibri"/>
      <w:color w:val="000000"/>
      <w:sz w:val="18"/>
      <w:szCs w:val="18"/>
    </w:rPr>
  </w:style>
  <w:style w:type="character" w:styleId="afff0">
    <w:name w:val="footnote reference"/>
    <w:basedOn w:val="a2"/>
    <w:uiPriority w:val="99"/>
    <w:semiHidden/>
    <w:unhideWhenUsed/>
    <w:rsid w:val="00B2281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3</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1 Portfolio choice</dc:title>
  <dc:subject>FE5108 group project Stage 1 report section</dc:subject>
  <dc:creator/>
  <cp:keywords>FE5108, portfolio choice, tangency portfolio, estimation uncertainty</cp:keywords>
  <dc:description>generated by python-docx</dc:description>
  <cp:lastModifiedBy>Guo Zhenwei</cp:lastModifiedBy>
  <cp:revision>62</cp:revision>
  <cp:lastPrinted>2026-10-06T10:58:00Z</cp:lastPrinted>
  <dcterms:created xsi:type="dcterms:W3CDTF">2013-12-23T23:15:00Z</dcterms:created>
  <dcterms:modified xsi:type="dcterms:W3CDTF">2026-10-07T13:29:00Z</dcterms:modified>
  <cp:category/>
</cp:coreProperties>
</file>