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B6E7" w14:textId="64B3A908" w:rsidR="001170B8" w:rsidRPr="00C12733" w:rsidRDefault="00593E9A" w:rsidP="00AC369F">
      <w:pPr>
        <w:spacing w:line="276" w:lineRule="auto"/>
      </w:pPr>
      <w:r w:rsidRPr="00C12733">
        <w:t>Jeremy Maniago</w:t>
      </w:r>
    </w:p>
    <w:p w14:paraId="53C8FC90" w14:textId="3E4E343F" w:rsidR="00593E9A" w:rsidRPr="00C12733" w:rsidRDefault="00593E9A" w:rsidP="00AC369F">
      <w:pPr>
        <w:spacing w:line="276" w:lineRule="auto"/>
      </w:pPr>
      <w:r w:rsidRPr="00C12733">
        <w:t>PHYS 454</w:t>
      </w:r>
    </w:p>
    <w:p w14:paraId="36D172AE" w14:textId="325CF0D6" w:rsidR="00593E9A" w:rsidRPr="00C12733" w:rsidRDefault="00593E9A" w:rsidP="00AC369F">
      <w:pPr>
        <w:spacing w:line="276" w:lineRule="auto"/>
      </w:pPr>
      <w:r w:rsidRPr="00C12733">
        <w:t>Professor Hedberg</w:t>
      </w:r>
    </w:p>
    <w:p w14:paraId="592686D9" w14:textId="0269128A" w:rsidR="00593E9A" w:rsidRPr="00C12733" w:rsidRDefault="00593E9A" w:rsidP="00AC369F">
      <w:pPr>
        <w:spacing w:line="276" w:lineRule="auto"/>
      </w:pPr>
      <w:r w:rsidRPr="00C12733">
        <w:t>HW#</w:t>
      </w:r>
      <w:r w:rsidR="00193430">
        <w:t>2</w:t>
      </w:r>
    </w:p>
    <w:p w14:paraId="27130264" w14:textId="6CCB4CE3" w:rsidR="00593E9A" w:rsidRPr="00C12733" w:rsidRDefault="00000000" w:rsidP="00AC369F">
      <w:pPr>
        <w:spacing w:line="276" w:lineRule="auto"/>
      </w:pPr>
      <w:r>
        <w:pict w14:anchorId="2748E11B">
          <v:rect id="_x0000_i1026" style="width:0;height:1.5pt" o:hralign="center" o:hrstd="t" o:hr="t" fillcolor="#a0a0a0" stroked="f"/>
        </w:pict>
      </w:r>
    </w:p>
    <w:p w14:paraId="7BE9C06C" w14:textId="677FEDCE" w:rsidR="00593E9A" w:rsidRPr="00350945" w:rsidRDefault="009E2C42" w:rsidP="00D72BD6">
      <w:pPr>
        <w:pStyle w:val="Heading1"/>
        <w:jc w:val="both"/>
      </w:pPr>
      <w:r w:rsidRPr="00350945">
        <w:t xml:space="preserve">Question </w:t>
      </w:r>
      <w:r w:rsidR="00593E9A" w:rsidRPr="00350945">
        <w:t>1</w:t>
      </w:r>
      <w:r w:rsidR="00350945">
        <w:t xml:space="preserve"> – </w:t>
      </w:r>
      <w:r w:rsidR="00D878BA">
        <w:t>Prove Kepler’s second law (numerically)</w:t>
      </w:r>
    </w:p>
    <w:p w14:paraId="2DB5D455" w14:textId="5B01D720" w:rsidR="004948D9" w:rsidRPr="00AC369F" w:rsidRDefault="00C3592E" w:rsidP="00D72BD6">
      <w:pPr>
        <w:spacing w:line="276" w:lineRule="auto"/>
        <w:jc w:val="both"/>
      </w:pPr>
      <w:r w:rsidRPr="00C12733">
        <w:t>a)</w:t>
      </w:r>
      <w:r w:rsidR="00B42004">
        <w:tab/>
      </w:r>
      <w:r w:rsidR="00D00651">
        <w:t xml:space="preserve">The object </w:t>
      </w:r>
      <w:r w:rsidR="00D72BD6">
        <w:t>chosen</w:t>
      </w:r>
      <w:r w:rsidR="00D00651">
        <w:t xml:space="preserve"> for this analysis is a comet orbiting the sun called Swift-Tuttle (109P). JPL Horizons</w:t>
      </w:r>
      <w:r w:rsidR="0020485D">
        <w:t xml:space="preserve"> </w:t>
      </w:r>
      <w:hyperlink w:anchor="one" w:history="1">
        <w:r w:rsidR="0020485D" w:rsidRPr="0020485D">
          <w:rPr>
            <w:rStyle w:val="Hyperlink"/>
            <w:u w:val="none"/>
          </w:rPr>
          <w:t>[1]</w:t>
        </w:r>
      </w:hyperlink>
      <w:r w:rsidR="0020485D">
        <w:t xml:space="preserve"> </w:t>
      </w:r>
      <w:r w:rsidR="00D00651">
        <w:t xml:space="preserve">was utilized to obtain vector and orbital element data for a time range from </w:t>
      </w:r>
      <w:r w:rsidR="0020485D">
        <w:t>June 15</w:t>
      </w:r>
      <w:r w:rsidR="0020485D" w:rsidRPr="0020485D">
        <w:rPr>
          <w:vertAlign w:val="superscript"/>
        </w:rPr>
        <w:t>th</w:t>
      </w:r>
      <w:r w:rsidR="0020485D">
        <w:t xml:space="preserve">, </w:t>
      </w:r>
      <w:r w:rsidR="00AC369F">
        <w:t>1737,</w:t>
      </w:r>
      <w:r w:rsidR="0020485D">
        <w:t xml:space="preserve"> to August 23</w:t>
      </w:r>
      <w:r w:rsidR="0020485D" w:rsidRPr="0020485D">
        <w:rPr>
          <w:vertAlign w:val="superscript"/>
        </w:rPr>
        <w:t>rd</w:t>
      </w:r>
      <w:r w:rsidR="0020485D">
        <w:t xml:space="preserve">, 1862 – about 125 years. According to Nasa’s small-body lookup database </w:t>
      </w:r>
      <w:hyperlink w:anchor="two" w:history="1">
        <w:r w:rsidR="0020485D" w:rsidRPr="0020485D">
          <w:rPr>
            <w:rStyle w:val="Hyperlink"/>
            <w:u w:val="none"/>
          </w:rPr>
          <w:t>[2]</w:t>
        </w:r>
      </w:hyperlink>
      <w:r w:rsidR="0020485D">
        <w:t xml:space="preserve">, </w:t>
      </w:r>
      <w:r w:rsidR="00AC369F">
        <w:t xml:space="preserve">the eccentricity of Swift-Tuttle’s orbit is around 0.96, which is highly eccentric. Some of the Swift-Tuttle’s orbital elements are shown in </w:t>
      </w:r>
      <w:r w:rsidR="00AC369F">
        <w:rPr>
          <w:b/>
          <w:bCs/>
        </w:rPr>
        <w:t>Table 1</w:t>
      </w:r>
      <w:r w:rsidR="00AC369F">
        <w:t>.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485D" w14:paraId="58275D4B" w14:textId="77777777" w:rsidTr="00AC369F">
        <w:trPr>
          <w:trHeight w:val="360"/>
          <w:jc w:val="center"/>
        </w:trPr>
        <w:tc>
          <w:tcPr>
            <w:tcW w:w="9350" w:type="dxa"/>
            <w:gridSpan w:val="2"/>
            <w:tcBorders>
              <w:top w:val="nil"/>
              <w:bottom w:val="double" w:sz="4" w:space="0" w:color="auto"/>
            </w:tcBorders>
            <w:vAlign w:val="center"/>
          </w:tcPr>
          <w:p w14:paraId="48C567AE" w14:textId="554AEB27" w:rsidR="0020485D" w:rsidRPr="00AC369F" w:rsidRDefault="0020485D" w:rsidP="00AC369F">
            <w:pPr>
              <w:spacing w:line="276" w:lineRule="auto"/>
              <w:jc w:val="center"/>
            </w:pPr>
            <w:r w:rsidRPr="00AC369F">
              <w:rPr>
                <w:sz w:val="24"/>
                <w:szCs w:val="24"/>
              </w:rPr>
              <w:t>Swift-Tuttle Orbital Elements</w:t>
            </w:r>
          </w:p>
        </w:tc>
      </w:tr>
      <w:tr w:rsidR="0020485D" w14:paraId="61510A1F" w14:textId="77777777" w:rsidTr="00AC369F">
        <w:trPr>
          <w:trHeight w:val="360"/>
          <w:jc w:val="center"/>
        </w:trPr>
        <w:tc>
          <w:tcPr>
            <w:tcW w:w="4675" w:type="dxa"/>
            <w:tcBorders>
              <w:top w:val="double" w:sz="4" w:space="0" w:color="auto"/>
            </w:tcBorders>
            <w:vAlign w:val="center"/>
          </w:tcPr>
          <w:p w14:paraId="7932F357" w14:textId="03856174" w:rsidR="0020485D" w:rsidRDefault="0020485D" w:rsidP="00AC369F">
            <w:pPr>
              <w:spacing w:line="276" w:lineRule="auto"/>
              <w:jc w:val="center"/>
            </w:pPr>
            <w:r>
              <w:t>Eccentricity</w:t>
            </w:r>
          </w:p>
        </w:tc>
        <w:tc>
          <w:tcPr>
            <w:tcW w:w="4675" w:type="dxa"/>
            <w:tcBorders>
              <w:top w:val="double" w:sz="4" w:space="0" w:color="auto"/>
            </w:tcBorders>
            <w:vAlign w:val="center"/>
          </w:tcPr>
          <w:p w14:paraId="32AE3C6E" w14:textId="3781ECA3" w:rsidR="0020485D" w:rsidRDefault="00AC369F" w:rsidP="00AC369F">
            <w:pPr>
              <w:spacing w:line="276" w:lineRule="auto"/>
              <w:jc w:val="center"/>
            </w:pPr>
            <w:r>
              <w:t>0.96</w:t>
            </w:r>
          </w:p>
        </w:tc>
      </w:tr>
      <w:tr w:rsidR="0020485D" w14:paraId="04EF0C9C" w14:textId="77777777" w:rsidTr="00AC369F">
        <w:trPr>
          <w:trHeight w:val="360"/>
          <w:jc w:val="center"/>
        </w:trPr>
        <w:tc>
          <w:tcPr>
            <w:tcW w:w="4675" w:type="dxa"/>
            <w:vAlign w:val="center"/>
          </w:tcPr>
          <w:p w14:paraId="7CFE3002" w14:textId="5C541EAB" w:rsidR="0020485D" w:rsidRDefault="0020485D" w:rsidP="00AC369F">
            <w:pPr>
              <w:spacing w:line="276" w:lineRule="auto"/>
              <w:jc w:val="center"/>
            </w:pPr>
            <w:r>
              <w:t>Inclination (w.r.t. the ecliptic plane) [deg]</w:t>
            </w:r>
          </w:p>
        </w:tc>
        <w:tc>
          <w:tcPr>
            <w:tcW w:w="4675" w:type="dxa"/>
            <w:vAlign w:val="center"/>
          </w:tcPr>
          <w:p w14:paraId="3E84BA62" w14:textId="56348292" w:rsidR="0020485D" w:rsidRDefault="00AC369F" w:rsidP="00AC369F">
            <w:pPr>
              <w:spacing w:line="276" w:lineRule="auto"/>
              <w:jc w:val="center"/>
            </w:pPr>
            <w:r>
              <w:t>113.45</w:t>
            </w:r>
          </w:p>
        </w:tc>
      </w:tr>
      <w:tr w:rsidR="0020485D" w14:paraId="196604A9" w14:textId="77777777" w:rsidTr="00260F5C">
        <w:trPr>
          <w:trHeight w:val="360"/>
          <w:jc w:val="center"/>
        </w:trPr>
        <w:tc>
          <w:tcPr>
            <w:tcW w:w="4675" w:type="dxa"/>
            <w:tcBorders>
              <w:bottom w:val="nil"/>
            </w:tcBorders>
            <w:vAlign w:val="center"/>
          </w:tcPr>
          <w:p w14:paraId="61C36954" w14:textId="14F6538B" w:rsidR="0020485D" w:rsidRDefault="0020485D" w:rsidP="00AC369F">
            <w:pPr>
              <w:spacing w:line="276" w:lineRule="auto"/>
              <w:jc w:val="center"/>
            </w:pPr>
            <w:r>
              <w:t>Perihelion [AU]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20AC9F3F" w14:textId="067736CE" w:rsidR="0020485D" w:rsidRDefault="00AC369F" w:rsidP="00AC369F">
            <w:pPr>
              <w:spacing w:line="276" w:lineRule="auto"/>
              <w:jc w:val="center"/>
            </w:pPr>
            <w:r>
              <w:t>0.96</w:t>
            </w:r>
          </w:p>
        </w:tc>
      </w:tr>
      <w:tr w:rsidR="0020485D" w14:paraId="0920E7B4" w14:textId="77777777" w:rsidTr="00260F5C">
        <w:trPr>
          <w:trHeight w:val="360"/>
          <w:jc w:val="center"/>
        </w:trPr>
        <w:tc>
          <w:tcPr>
            <w:tcW w:w="4675" w:type="dxa"/>
            <w:tcBorders>
              <w:top w:val="nil"/>
              <w:bottom w:val="double" w:sz="4" w:space="0" w:color="auto"/>
            </w:tcBorders>
            <w:vAlign w:val="center"/>
          </w:tcPr>
          <w:p w14:paraId="79CD99E3" w14:textId="696BDE9A" w:rsidR="0020485D" w:rsidRDefault="0020485D" w:rsidP="00AC369F">
            <w:pPr>
              <w:spacing w:line="276" w:lineRule="auto"/>
              <w:jc w:val="center"/>
            </w:pPr>
            <w:r>
              <w:t>Aphelion [AU]</w:t>
            </w:r>
          </w:p>
        </w:tc>
        <w:tc>
          <w:tcPr>
            <w:tcW w:w="4675" w:type="dxa"/>
            <w:tcBorders>
              <w:top w:val="nil"/>
              <w:bottom w:val="double" w:sz="4" w:space="0" w:color="auto"/>
            </w:tcBorders>
            <w:vAlign w:val="center"/>
          </w:tcPr>
          <w:p w14:paraId="5F959924" w14:textId="50F1A23E" w:rsidR="0020485D" w:rsidRDefault="00AC369F" w:rsidP="00AC369F">
            <w:pPr>
              <w:keepNext/>
              <w:spacing w:line="276" w:lineRule="auto"/>
              <w:jc w:val="center"/>
            </w:pPr>
            <w:r>
              <w:t>51.22</w:t>
            </w:r>
          </w:p>
        </w:tc>
      </w:tr>
    </w:tbl>
    <w:p w14:paraId="1419B3AC" w14:textId="75F790FF" w:rsidR="0020485D" w:rsidRPr="00AC369F" w:rsidRDefault="00AC369F" w:rsidP="00AC369F">
      <w:pPr>
        <w:pStyle w:val="Caption"/>
        <w:spacing w:line="276" w:lineRule="auto"/>
        <w:jc w:val="center"/>
        <w:rPr>
          <w:sz w:val="20"/>
          <w:szCs w:val="20"/>
        </w:rPr>
      </w:pPr>
      <w:r w:rsidRPr="00AC369F">
        <w:rPr>
          <w:sz w:val="20"/>
          <w:szCs w:val="20"/>
        </w:rPr>
        <w:t xml:space="preserve">Table </w:t>
      </w:r>
      <w:r w:rsidRPr="00AC369F">
        <w:rPr>
          <w:sz w:val="20"/>
          <w:szCs w:val="20"/>
        </w:rPr>
        <w:fldChar w:fldCharType="begin"/>
      </w:r>
      <w:r w:rsidRPr="00AC369F">
        <w:rPr>
          <w:sz w:val="20"/>
          <w:szCs w:val="20"/>
        </w:rPr>
        <w:instrText xml:space="preserve"> SEQ Table \* ARABIC </w:instrText>
      </w:r>
      <w:r w:rsidRPr="00AC369F">
        <w:rPr>
          <w:sz w:val="20"/>
          <w:szCs w:val="20"/>
        </w:rPr>
        <w:fldChar w:fldCharType="separate"/>
      </w:r>
      <w:r w:rsidR="00E610F0">
        <w:rPr>
          <w:noProof/>
          <w:sz w:val="20"/>
          <w:szCs w:val="20"/>
        </w:rPr>
        <w:t>1</w:t>
      </w:r>
      <w:r w:rsidRPr="00AC369F">
        <w:rPr>
          <w:sz w:val="20"/>
          <w:szCs w:val="20"/>
        </w:rPr>
        <w:fldChar w:fldCharType="end"/>
      </w:r>
      <w:r w:rsidRPr="00AC369F">
        <w:rPr>
          <w:sz w:val="20"/>
          <w:szCs w:val="20"/>
        </w:rPr>
        <w:t>: Orbital Elements of Swift-Tuttle's orbit</w:t>
      </w:r>
      <w:r w:rsidR="00F36321">
        <w:rPr>
          <w:sz w:val="20"/>
          <w:szCs w:val="20"/>
        </w:rPr>
        <w:t>.</w:t>
      </w:r>
    </w:p>
    <w:p w14:paraId="73BF5141" w14:textId="0398259F" w:rsidR="0096679F" w:rsidRPr="00260F5C" w:rsidRDefault="00AC369F" w:rsidP="00D72BD6">
      <w:pPr>
        <w:spacing w:line="276" w:lineRule="auto"/>
        <w:jc w:val="both"/>
      </w:pPr>
      <w:r>
        <w:t>With the range and true anomalies of the Swift-Tuttle at specific time times obtained from JPL Horizons, we can pick a smaller time range to prove Kepler’s 2</w:t>
      </w:r>
      <w:r w:rsidRPr="00AC369F">
        <w:rPr>
          <w:vertAlign w:val="superscript"/>
        </w:rPr>
        <w:t>nd</w:t>
      </w:r>
      <w:r>
        <w:t xml:space="preserve"> Law, which is that “A line connecting a planet to the Sun sweeps out equal areas in equal times”. In this case, instead of a planet we will be using a comet. A date range of </w:t>
      </w:r>
      <w:r w:rsidRPr="00260F5C">
        <w:rPr>
          <w:u w:val="single"/>
        </w:rPr>
        <w:t>240 months</w:t>
      </w:r>
      <w:r>
        <w:t xml:space="preserve"> (</w:t>
      </w:r>
      <w:r w:rsidRPr="00260F5C">
        <w:rPr>
          <w:u w:val="single"/>
        </w:rPr>
        <w:t>20 years</w:t>
      </w:r>
      <w:r>
        <w:t xml:space="preserve">) </w:t>
      </w:r>
      <w:r w:rsidR="00260F5C">
        <w:t xml:space="preserve">was chosen. The equation to numerically estimate the swept area of an ellipse is given by </w:t>
      </w:r>
      <w:r w:rsidR="00260F5C">
        <w:rPr>
          <w:b/>
          <w:bCs/>
        </w:rPr>
        <w:t>Equation 1</w:t>
      </w:r>
      <w:r w:rsidR="00260F5C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5737"/>
        <w:gridCol w:w="467"/>
      </w:tblGrid>
      <w:tr w:rsidR="00260F5C" w14:paraId="0A45E22D" w14:textId="77777777" w:rsidTr="00F71A94">
        <w:trPr>
          <w:jc w:val="center"/>
        </w:trPr>
        <w:tc>
          <w:tcPr>
            <w:tcW w:w="350" w:type="pct"/>
            <w:vAlign w:val="center"/>
          </w:tcPr>
          <w:p w14:paraId="585EF3E6" w14:textId="77777777" w:rsidR="00260F5C" w:rsidRPr="00DB59E1" w:rsidRDefault="00260F5C" w:rsidP="00D72BD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300" w:type="pct"/>
            <w:vAlign w:val="center"/>
          </w:tcPr>
          <w:p w14:paraId="4DBFB47E" w14:textId="61BB8063" w:rsidR="00260F5C" w:rsidRPr="00260F5C" w:rsidRDefault="00260F5C" w:rsidP="00D72BD6">
            <w:pPr>
              <w:spacing w:line="360" w:lineRule="auto"/>
              <w:jc w:val="both"/>
              <w:rPr>
                <w:rFonts w:ascii="Times New Roman" w:eastAsiaTheme="minorEastAsia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Δθ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14:paraId="4E7C1BDE" w14:textId="1B1AF9FA" w:rsidR="00260F5C" w:rsidRPr="00260F5C" w:rsidRDefault="00260F5C" w:rsidP="00D72BD6">
            <w:pPr>
              <w:spacing w:line="360" w:lineRule="auto"/>
              <w:jc w:val="both"/>
            </w:pPr>
            <w:r w:rsidRPr="00260F5C">
              <w:t>(</w:t>
            </w:r>
            <w:r w:rsidRPr="00260F5C">
              <w:fldChar w:fldCharType="begin"/>
            </w:r>
            <w:r w:rsidRPr="00260F5C">
              <w:instrText xml:space="preserve"> SEQ ( \* ARABIC </w:instrText>
            </w:r>
            <w:r w:rsidRPr="00260F5C">
              <w:fldChar w:fldCharType="separate"/>
            </w:r>
            <w:r w:rsidR="00E610F0">
              <w:rPr>
                <w:noProof/>
              </w:rPr>
              <w:t>1</w:t>
            </w:r>
            <w:r w:rsidRPr="00260F5C">
              <w:fldChar w:fldCharType="end"/>
            </w:r>
            <w:r w:rsidRPr="00260F5C">
              <w:t>)</w:t>
            </w:r>
          </w:p>
        </w:tc>
      </w:tr>
    </w:tbl>
    <w:p w14:paraId="6308711E" w14:textId="50CEB25C" w:rsidR="00260F5C" w:rsidRPr="00260F5C" w:rsidRDefault="00260F5C" w:rsidP="00D72BD6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tab/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kern w:val="0"/>
                <w14:ligatures w14:val="none"/>
              </w:rPr>
              <m:t>'</m:t>
            </m:r>
          </m:sup>
        </m:sSup>
      </m:oMath>
      <w:r>
        <w:rPr>
          <w:rFonts w:eastAsiaTheme="minorEastAsia"/>
          <w:kern w:val="0"/>
          <w14:ligatures w14:val="none"/>
        </w:rPr>
        <w:t xml:space="preserve"> is the final range (distance from comet to sun),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r</m:t>
        </m:r>
      </m:oMath>
      <w:r>
        <w:rPr>
          <w:rFonts w:eastAsiaTheme="minorEastAsia"/>
          <w:kern w:val="0"/>
          <w14:ligatures w14:val="none"/>
        </w:rPr>
        <w:t xml:space="preserve"> is the initial range,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the difference in the true anomalies from the initial and final time, which can be defined as: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5737"/>
        <w:gridCol w:w="467"/>
      </w:tblGrid>
      <w:tr w:rsidR="00260F5C" w14:paraId="3925DDF4" w14:textId="77777777" w:rsidTr="004F610F">
        <w:trPr>
          <w:trHeight w:val="360"/>
          <w:jc w:val="center"/>
        </w:trPr>
        <w:tc>
          <w:tcPr>
            <w:tcW w:w="350" w:type="pct"/>
            <w:vAlign w:val="center"/>
          </w:tcPr>
          <w:p w14:paraId="55E8826F" w14:textId="77777777" w:rsidR="00260F5C" w:rsidRDefault="00260F5C" w:rsidP="00D72B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300" w:type="pct"/>
            <w:vAlign w:val="center"/>
            <w:hideMark/>
          </w:tcPr>
          <w:p w14:paraId="254AD874" w14:textId="435EB03C" w:rsidR="004F610F" w:rsidRPr="004F610F" w:rsidRDefault="004F610F" w:rsidP="00D72BD6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  <w:p w14:paraId="53E0C3CD" w14:textId="6E6D377A" w:rsidR="004F610F" w:rsidRPr="004F610F" w:rsidRDefault="004F610F" w:rsidP="00D72BD6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0" w:type="pct"/>
            <w:vAlign w:val="center"/>
            <w:hideMark/>
          </w:tcPr>
          <w:p w14:paraId="70C46364" w14:textId="516DD8FF" w:rsidR="00260F5C" w:rsidRDefault="00260F5C" w:rsidP="00D72BD6">
            <w:pPr>
              <w:spacing w:line="360" w:lineRule="auto"/>
              <w:jc w:val="both"/>
            </w:pPr>
            <w:r>
              <w:t>(2)</w:t>
            </w:r>
          </w:p>
        </w:tc>
      </w:tr>
    </w:tbl>
    <w:p w14:paraId="588CF2B8" w14:textId="0D375F44" w:rsidR="00260F5C" w:rsidRPr="004F610F" w:rsidRDefault="00260F5C" w:rsidP="00D72BD6">
      <w:pPr>
        <w:spacing w:line="276" w:lineRule="auto"/>
        <w:jc w:val="both"/>
        <w:rPr>
          <w:rFonts w:eastAsiaTheme="minorEastAsia"/>
          <w:kern w:val="0"/>
          <w14:ligatures w14:val="none"/>
        </w:rPr>
      </w:pPr>
      <w:r>
        <w:rPr>
          <w:rFonts w:eastAsiaTheme="minorEastAsia"/>
          <w:kern w:val="0"/>
          <w14:ligatures w14:val="none"/>
        </w:rPr>
        <w:t>The first 20-year range was from 1739 to 1759 (starting and ending on February 2</w:t>
      </w:r>
      <w:r w:rsidRPr="00260F5C">
        <w:rPr>
          <w:rFonts w:eastAsiaTheme="minorEastAsia"/>
          <w:kern w:val="0"/>
          <w:vertAlign w:val="superscript"/>
          <w14:ligatures w14:val="none"/>
        </w:rPr>
        <w:t>nd</w:t>
      </w:r>
      <w:r>
        <w:rPr>
          <w:rFonts w:eastAsiaTheme="minorEastAsia"/>
          <w:kern w:val="0"/>
          <w14:ligatures w14:val="none"/>
        </w:rPr>
        <w:t xml:space="preserve">), and the swept area was approximated to </w:t>
      </w:r>
      <w:r w:rsidRPr="004F610F">
        <w:rPr>
          <w:rFonts w:eastAsiaTheme="minorEastAsia"/>
          <w:b/>
          <w:bCs/>
          <w:kern w:val="0"/>
          <w14:ligatures w14:val="none"/>
        </w:rPr>
        <w:t>4931.61 AU</w:t>
      </w:r>
      <w:r w:rsidRPr="004F610F">
        <w:rPr>
          <w:rFonts w:eastAsiaTheme="minorEastAsia"/>
          <w:b/>
          <w:bCs/>
          <w:kern w:val="0"/>
          <w:vertAlign w:val="superscript"/>
          <w14:ligatures w14:val="none"/>
        </w:rPr>
        <w:t>2</w:t>
      </w:r>
      <w:r>
        <w:rPr>
          <w:rFonts w:eastAsiaTheme="minorEastAsia"/>
          <w:kern w:val="0"/>
          <w14:ligatures w14:val="none"/>
        </w:rPr>
        <w:t>. The second 20-year range was from 1829 to 1849 (starting and ending on Februar</w:t>
      </w:r>
      <w:r w:rsidR="004F610F">
        <w:rPr>
          <w:rFonts w:eastAsiaTheme="minorEastAsia"/>
          <w:kern w:val="0"/>
          <w14:ligatures w14:val="none"/>
        </w:rPr>
        <w:t>y</w:t>
      </w:r>
      <w:r>
        <w:rPr>
          <w:rFonts w:eastAsiaTheme="minorEastAsia"/>
          <w:kern w:val="0"/>
          <w14:ligatures w14:val="none"/>
        </w:rPr>
        <w:t xml:space="preserve"> </w:t>
      </w:r>
      <w:r w:rsidR="004F610F">
        <w:rPr>
          <w:rFonts w:eastAsiaTheme="minorEastAsia"/>
          <w:kern w:val="0"/>
          <w14:ligatures w14:val="none"/>
        </w:rPr>
        <w:t>2</w:t>
      </w:r>
      <w:r w:rsidR="004F610F" w:rsidRPr="004F610F">
        <w:rPr>
          <w:rFonts w:eastAsiaTheme="minorEastAsia"/>
          <w:kern w:val="0"/>
          <w:vertAlign w:val="superscript"/>
          <w14:ligatures w14:val="none"/>
        </w:rPr>
        <w:t>nd</w:t>
      </w:r>
      <w:r w:rsidR="004F610F">
        <w:rPr>
          <w:rFonts w:eastAsiaTheme="minorEastAsia"/>
          <w:kern w:val="0"/>
          <w14:ligatures w14:val="none"/>
        </w:rPr>
        <w:t xml:space="preserve">), and the swept area was approximated to </w:t>
      </w:r>
      <w:r w:rsidR="004F610F" w:rsidRPr="004F610F">
        <w:rPr>
          <w:rFonts w:eastAsiaTheme="minorEastAsia"/>
          <w:b/>
          <w:bCs/>
          <w:kern w:val="0"/>
          <w14:ligatures w14:val="none"/>
        </w:rPr>
        <w:t>4967.84 AU</w:t>
      </w:r>
      <w:r w:rsidR="004F610F" w:rsidRPr="004F610F">
        <w:rPr>
          <w:rFonts w:eastAsiaTheme="minorEastAsia"/>
          <w:b/>
          <w:bCs/>
          <w:kern w:val="0"/>
          <w:vertAlign w:val="superscript"/>
          <w14:ligatures w14:val="none"/>
        </w:rPr>
        <w:t>2</w:t>
      </w:r>
      <w:r w:rsidR="004F610F">
        <w:rPr>
          <w:rFonts w:eastAsiaTheme="minorEastAsia"/>
          <w:kern w:val="0"/>
          <w14:ligatures w14:val="none"/>
        </w:rPr>
        <w:t>. These values are, although varying  by 31 AU</w:t>
      </w:r>
      <w:r w:rsidR="004F610F">
        <w:rPr>
          <w:rFonts w:eastAsiaTheme="minorEastAsia"/>
          <w:kern w:val="0"/>
          <w:vertAlign w:val="superscript"/>
          <w14:ligatures w14:val="none"/>
        </w:rPr>
        <w:t>2</w:t>
      </w:r>
      <w:r w:rsidR="004F610F">
        <w:rPr>
          <w:rFonts w:eastAsiaTheme="minorEastAsia"/>
          <w:kern w:val="0"/>
          <w14:ligatures w14:val="none"/>
        </w:rPr>
        <w:t xml:space="preserve"> in calculated area, are close enough to prove Kepler’s 2</w:t>
      </w:r>
      <w:r w:rsidR="004F610F" w:rsidRPr="004F610F">
        <w:rPr>
          <w:rFonts w:eastAsiaTheme="minorEastAsia"/>
          <w:kern w:val="0"/>
          <w:vertAlign w:val="superscript"/>
          <w14:ligatures w14:val="none"/>
        </w:rPr>
        <w:t>nd</w:t>
      </w:r>
      <w:r w:rsidR="004F610F">
        <w:rPr>
          <w:rFonts w:eastAsiaTheme="minorEastAsia"/>
          <w:kern w:val="0"/>
          <w14:ligatures w14:val="none"/>
        </w:rPr>
        <w:t xml:space="preserve"> Law. The percent error from the second and first area is a mere </w:t>
      </w:r>
      <w:r w:rsidR="004F610F" w:rsidRPr="004F610F">
        <w:rPr>
          <w:rFonts w:eastAsiaTheme="minorEastAsia"/>
          <w:b/>
          <w:bCs/>
          <w:kern w:val="0"/>
          <w14:ligatures w14:val="none"/>
        </w:rPr>
        <w:t>0.73%</w:t>
      </w:r>
      <w:r w:rsidR="004F610F">
        <w:rPr>
          <w:rFonts w:eastAsiaTheme="minorEastAsia"/>
          <w:kern w:val="0"/>
          <w14:ligatures w14:val="none"/>
        </w:rPr>
        <w:t>. Reasons for this error is due to data uncertainties and the nature of numerical methods being only approximations of a true value.</w:t>
      </w:r>
    </w:p>
    <w:p w14:paraId="7D0A6249" w14:textId="48CAB2C7" w:rsidR="004948D9" w:rsidRPr="004F610F" w:rsidRDefault="00C3592E" w:rsidP="00D72BD6">
      <w:pPr>
        <w:spacing w:line="276" w:lineRule="auto"/>
        <w:jc w:val="both"/>
      </w:pPr>
      <w:r w:rsidRPr="00C12733">
        <w:lastRenderedPageBreak/>
        <w:t xml:space="preserve">b) </w:t>
      </w:r>
      <w:r w:rsidR="004F610F">
        <w:rPr>
          <w:b/>
          <w:bCs/>
        </w:rPr>
        <w:t>Figure 1</w:t>
      </w:r>
      <w:r w:rsidR="004F610F">
        <w:t xml:space="preserve"> shows four plots</w:t>
      </w:r>
      <w:r w:rsidR="00183AC2">
        <w:t xml:space="preserve">. The first </w:t>
      </w:r>
      <w:r w:rsidR="00394E4A">
        <w:t>plot (top left) shows</w:t>
      </w:r>
      <w:r w:rsidR="00183AC2">
        <w:t xml:space="preserve"> Swift-Tuttle’s orbit around the sun with earth’s orbit as reference. The second </w:t>
      </w:r>
      <w:r w:rsidR="00394E4A">
        <w:t xml:space="preserve">plot (top right) </w:t>
      </w:r>
      <w:r w:rsidR="00183AC2">
        <w:t xml:space="preserve">is a zoomed in version of the first plot to better see earth’s orbit compared to Swift-Tuttle’s. We can see that the perihelion of the comet is in fact a little smaller than the radius of earth’s orbit, which is 1 AU. </w:t>
      </w:r>
      <w:r w:rsidR="00394E4A">
        <w:t>The third plot (bottom left) represents the calculated swept area for the first-time range, and the fourth plot (bottom right) represents the calculated swept area for the second-time range. The reason for plotting the orbit in 3D is because the inclination of Swift-Tuttle’s orbit is off of the Sun-Earth ecliptic plane. The full orbit of the comet cannot be seen in just two dimensions.</w:t>
      </w:r>
    </w:p>
    <w:p w14:paraId="537AA14E" w14:textId="77777777" w:rsidR="00E16FF9" w:rsidRDefault="0096679F" w:rsidP="00E16FF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B0C0DBA" wp14:editId="4AD29B11">
            <wp:extent cx="5820082" cy="5429458"/>
            <wp:effectExtent l="57150" t="57150" r="104775" b="95250"/>
            <wp:docPr id="1519121794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1794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4" t="7457" r="5543" b="8944"/>
                    <a:stretch/>
                  </pic:blipFill>
                  <pic:spPr bwMode="auto">
                    <a:xfrm>
                      <a:off x="0" y="0"/>
                      <a:ext cx="5850033" cy="54573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4020" w14:textId="51759272" w:rsidR="0096679F" w:rsidRPr="00E16FF9" w:rsidRDefault="00E16FF9" w:rsidP="00E16FF9">
      <w:pPr>
        <w:pStyle w:val="Caption"/>
        <w:jc w:val="center"/>
        <w:rPr>
          <w:sz w:val="20"/>
          <w:szCs w:val="20"/>
        </w:rPr>
      </w:pPr>
      <w:r w:rsidRPr="00E16FF9">
        <w:rPr>
          <w:sz w:val="20"/>
          <w:szCs w:val="20"/>
        </w:rPr>
        <w:t xml:space="preserve">Figure </w:t>
      </w:r>
      <w:r w:rsidRPr="00E16FF9">
        <w:rPr>
          <w:sz w:val="20"/>
          <w:szCs w:val="20"/>
        </w:rPr>
        <w:fldChar w:fldCharType="begin"/>
      </w:r>
      <w:r w:rsidRPr="00E16FF9">
        <w:rPr>
          <w:sz w:val="20"/>
          <w:szCs w:val="20"/>
        </w:rPr>
        <w:instrText xml:space="preserve"> SEQ Figure \* ARABIC </w:instrText>
      </w:r>
      <w:r w:rsidRPr="00E16FF9">
        <w:rPr>
          <w:sz w:val="20"/>
          <w:szCs w:val="20"/>
        </w:rPr>
        <w:fldChar w:fldCharType="separate"/>
      </w:r>
      <w:r w:rsidR="00E610F0">
        <w:rPr>
          <w:noProof/>
          <w:sz w:val="20"/>
          <w:szCs w:val="20"/>
        </w:rPr>
        <w:t>1</w:t>
      </w:r>
      <w:r w:rsidRPr="00E16FF9">
        <w:rPr>
          <w:sz w:val="20"/>
          <w:szCs w:val="20"/>
        </w:rPr>
        <w:fldChar w:fldCharType="end"/>
      </w:r>
      <w:r w:rsidRPr="00E16FF9">
        <w:rPr>
          <w:sz w:val="20"/>
          <w:szCs w:val="20"/>
        </w:rPr>
        <w:t>: Plots of Swift-Tuttle's orbit. The view angle is defined as 20 deg elevation, 55 deg azimuth, and 0 deg roll</w:t>
      </w:r>
      <w:r w:rsidR="00F36321">
        <w:rPr>
          <w:sz w:val="20"/>
          <w:szCs w:val="20"/>
        </w:rPr>
        <w:t>.</w:t>
      </w:r>
    </w:p>
    <w:p w14:paraId="598E66CA" w14:textId="0ED40627" w:rsidR="007463D6" w:rsidRPr="00D878BA" w:rsidRDefault="00000000" w:rsidP="00AC369F">
      <w:pPr>
        <w:spacing w:line="276" w:lineRule="auto"/>
      </w:pPr>
      <w:r>
        <w:pict w14:anchorId="1400620C">
          <v:rect id="_x0000_i1027" style="width:0;height:1.5pt" o:hralign="center" o:bullet="t" o:hrstd="t" o:hr="t" fillcolor="#a0a0a0" stroked="f"/>
        </w:pict>
      </w:r>
    </w:p>
    <w:p w14:paraId="079C418A" w14:textId="2A5C9962" w:rsidR="00F153F8" w:rsidRDefault="00EC4971" w:rsidP="00AC369F">
      <w:pPr>
        <w:pStyle w:val="Heading1"/>
      </w:pPr>
      <w:r w:rsidRPr="00EC4971">
        <w:lastRenderedPageBreak/>
        <w:t>Question 2</w:t>
      </w:r>
      <w:r w:rsidR="00350945">
        <w:t xml:space="preserve"> – </w:t>
      </w:r>
      <w:r w:rsidR="00DB697A">
        <w:t>Balls of Gas</w:t>
      </w:r>
    </w:p>
    <w:p w14:paraId="505F6832" w14:textId="77777777" w:rsidR="00CF49EA" w:rsidRPr="00CF49EA" w:rsidRDefault="00CF49EA" w:rsidP="00CF49EA"/>
    <w:p w14:paraId="03F64271" w14:textId="5695795A" w:rsidR="00E23C22" w:rsidRPr="007338EB" w:rsidRDefault="00000000" w:rsidP="00AC369F">
      <w:pPr>
        <w:spacing w:line="276" w:lineRule="auto"/>
      </w:pPr>
      <w:r>
        <w:pict w14:anchorId="5F8A4567">
          <v:rect id="_x0000_i1028" style="width:0;height:1.5pt" o:hralign="center" o:bullet="t" o:hrstd="t" o:hr="t" fillcolor="#a0a0a0" stroked="f"/>
        </w:pict>
      </w:r>
    </w:p>
    <w:p w14:paraId="43CA9899" w14:textId="73E7F7F8" w:rsidR="00E23C22" w:rsidRDefault="00E23C22" w:rsidP="00AC369F">
      <w:pPr>
        <w:pStyle w:val="Heading1"/>
      </w:pPr>
      <w:r>
        <w:t xml:space="preserve">Question 3 – </w:t>
      </w:r>
      <w:r w:rsidR="00DB697A">
        <w:t>Eclipse</w:t>
      </w:r>
    </w:p>
    <w:p w14:paraId="1AE96440" w14:textId="532ED79E" w:rsidR="00CF49EA" w:rsidRPr="00CF49EA" w:rsidRDefault="00CF49EA" w:rsidP="00CF49EA">
      <w:r>
        <w:t>a)</w:t>
      </w:r>
      <w:r>
        <w:tab/>
      </w:r>
    </w:p>
    <w:p w14:paraId="29BDB257" w14:textId="7B6D5F31" w:rsidR="000C3D0D" w:rsidRDefault="00000000" w:rsidP="00AC369F">
      <w:pPr>
        <w:spacing w:line="276" w:lineRule="auto"/>
      </w:pPr>
      <w:r>
        <w:pict w14:anchorId="7C58F2F3">
          <v:rect id="_x0000_i1029" style="width:0;height:1.5pt" o:hralign="center" o:bullet="t" o:hrstd="t" o:hr="t" fillcolor="#a0a0a0" stroked="f"/>
        </w:pict>
      </w:r>
    </w:p>
    <w:p w14:paraId="4BEFCB4C" w14:textId="15A06939" w:rsidR="000C3D0D" w:rsidRDefault="000C3D0D" w:rsidP="00AC369F">
      <w:pPr>
        <w:pStyle w:val="Heading1"/>
      </w:pPr>
      <w:r>
        <w:t>References</w:t>
      </w:r>
    </w:p>
    <w:p w14:paraId="13506651" w14:textId="1E2E66CB" w:rsidR="000C3D0D" w:rsidRPr="00A30411" w:rsidRDefault="004A6E5F" w:rsidP="00AC369F">
      <w:pPr>
        <w:spacing w:line="276" w:lineRule="auto"/>
      </w:pPr>
      <w:bookmarkStart w:id="0" w:name="one"/>
      <w:r w:rsidRPr="00A30411">
        <w:t>[1]</w:t>
      </w:r>
      <w:r w:rsidR="00223C50" w:rsidRPr="00A30411">
        <w:t xml:space="preserve"> </w:t>
      </w:r>
    </w:p>
    <w:p w14:paraId="7E578F31" w14:textId="10D03282" w:rsidR="004A6E5F" w:rsidRPr="00A30411" w:rsidRDefault="004A6E5F" w:rsidP="00AC369F">
      <w:pPr>
        <w:spacing w:line="276" w:lineRule="auto"/>
      </w:pPr>
      <w:bookmarkStart w:id="1" w:name="two"/>
      <w:bookmarkEnd w:id="0"/>
      <w:r w:rsidRPr="00A30411">
        <w:t>[2]</w:t>
      </w:r>
      <w:r w:rsidR="00223C50" w:rsidRPr="00A30411">
        <w:t xml:space="preserve"> </w:t>
      </w:r>
    </w:p>
    <w:p w14:paraId="0386F18F" w14:textId="2E9121F3" w:rsidR="00A30411" w:rsidRPr="00B333EB" w:rsidRDefault="004A6E5F" w:rsidP="00AC369F">
      <w:pPr>
        <w:spacing w:line="276" w:lineRule="auto"/>
        <w:rPr>
          <w:rStyle w:val="Hyperlink"/>
          <w:color w:val="auto"/>
          <w:u w:val="none"/>
        </w:rPr>
      </w:pPr>
      <w:bookmarkStart w:id="2" w:name="three"/>
      <w:bookmarkEnd w:id="1"/>
      <w:r w:rsidRPr="00A30411">
        <w:t>[3]</w:t>
      </w:r>
      <w:r w:rsidR="00223C50" w:rsidRPr="00A30411">
        <w:t xml:space="preserve"> </w:t>
      </w:r>
      <w:bookmarkEnd w:id="2"/>
    </w:p>
    <w:p w14:paraId="68757C12" w14:textId="0CB633E3" w:rsidR="00CF49EA" w:rsidRPr="00A30411" w:rsidRDefault="00A30411" w:rsidP="00CF49EA">
      <w:pPr>
        <w:spacing w:line="276" w:lineRule="auto"/>
      </w:pPr>
      <w:r>
        <w:rPr>
          <w:rStyle w:val="Hyperlink"/>
          <w:color w:val="auto"/>
          <w:u w:val="none"/>
        </w:rPr>
        <w:t>[</w:t>
      </w:r>
      <w:r w:rsidR="00B333EB">
        <w:rPr>
          <w:rStyle w:val="Hyperlink"/>
          <w:color w:val="auto"/>
          <w:u w:val="none"/>
        </w:rPr>
        <w:t>4</w:t>
      </w:r>
      <w:r>
        <w:rPr>
          <w:rStyle w:val="Hyperlink"/>
          <w:color w:val="auto"/>
          <w:u w:val="none"/>
        </w:rPr>
        <w:t>] Source Cod</w:t>
      </w:r>
      <w:r w:rsidR="00CF49EA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 xml:space="preserve"> - </w:t>
      </w:r>
    </w:p>
    <w:p w14:paraId="3B5014BD" w14:textId="0F0676C2" w:rsidR="00120DCF" w:rsidRPr="00A30411" w:rsidRDefault="00120DCF" w:rsidP="00AC369F">
      <w:pPr>
        <w:spacing w:line="276" w:lineRule="auto"/>
      </w:pPr>
    </w:p>
    <w:sectPr w:rsidR="00120DCF" w:rsidRPr="00A30411" w:rsidSect="00322AF1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92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3B0FF" w14:textId="77777777" w:rsidR="00322AF1" w:rsidRDefault="00322AF1" w:rsidP="00D878BA">
      <w:r>
        <w:separator/>
      </w:r>
    </w:p>
    <w:p w14:paraId="77A9EA5E" w14:textId="77777777" w:rsidR="00322AF1" w:rsidRDefault="00322AF1" w:rsidP="00D878BA"/>
    <w:p w14:paraId="4C912025" w14:textId="77777777" w:rsidR="00322AF1" w:rsidRDefault="00322AF1" w:rsidP="00D878BA"/>
  </w:endnote>
  <w:endnote w:type="continuationSeparator" w:id="0">
    <w:p w14:paraId="4C7F020A" w14:textId="77777777" w:rsidR="00322AF1" w:rsidRDefault="00322AF1" w:rsidP="00D878BA">
      <w:r>
        <w:continuationSeparator/>
      </w:r>
    </w:p>
    <w:p w14:paraId="3F7E047D" w14:textId="77777777" w:rsidR="00322AF1" w:rsidRDefault="00322AF1" w:rsidP="00D878BA"/>
    <w:p w14:paraId="607EF47E" w14:textId="77777777" w:rsidR="00322AF1" w:rsidRDefault="00322AF1" w:rsidP="00D87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74A38668" w:rsidR="00593E9A" w:rsidRDefault="00000000" w:rsidP="00D878BA">
        <w:pPr>
          <w:pStyle w:val="Footer"/>
        </w:pPr>
        <w:r>
          <w:pict w14:anchorId="452B26F6">
            <v:rect id="_x0000_i1031" style="width:0;height:1.5pt" o:hralign="center" o:hrstd="t" o:hr="t" fillcolor="#a0a0a0" stroked="f"/>
          </w:pict>
        </w:r>
      </w:p>
      <w:p w14:paraId="0488B943" w14:textId="45C846A0" w:rsidR="00967F7B" w:rsidRPr="007463D6" w:rsidRDefault="00350945" w:rsidP="00D878BA">
        <w:pPr>
          <w:pStyle w:val="Footer"/>
        </w:pPr>
        <w:r w:rsidRPr="007463D6">
          <w:t>PHYS 454</w:t>
        </w:r>
        <w:r w:rsidRPr="007463D6">
          <w:tab/>
        </w:r>
        <w:r w:rsidRPr="007463D6">
          <w:tab/>
        </w:r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9985A" w14:textId="0A3B9574" w:rsidR="00593E9A" w:rsidRPr="007463D6" w:rsidRDefault="00000000" w:rsidP="00D878BA">
    <w:pPr>
      <w:pStyle w:val="Footer"/>
    </w:pPr>
    <w:r>
      <w:pict w14:anchorId="79542646">
        <v:rect id="_x0000_i1032" style="width:0;height:1.5pt" o:hralign="center" o:hrstd="t" o:hr="t" fillcolor="#a0a0a0" stroked="f"/>
      </w:pict>
    </w:r>
  </w:p>
  <w:p w14:paraId="3FD3DB47" w14:textId="543B3CAD" w:rsidR="00967F7B" w:rsidRPr="007463D6" w:rsidRDefault="00350945" w:rsidP="00D878BA">
    <w:pPr>
      <w:pStyle w:val="Footer"/>
    </w:pPr>
    <w:r w:rsidRPr="007463D6">
      <w:t>PHYS 454</w:t>
    </w:r>
    <w:r w:rsidRPr="007463D6">
      <w:tab/>
    </w:r>
    <w:r w:rsidRPr="007463D6">
      <w:tab/>
    </w:r>
    <w:sdt>
      <w:sdtPr>
        <w:id w:val="2037679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3E9A" w:rsidRPr="007463D6">
          <w:fldChar w:fldCharType="begin"/>
        </w:r>
        <w:r w:rsidR="00593E9A" w:rsidRPr="007463D6">
          <w:instrText xml:space="preserve"> PAGE   \* MERGEFORMAT </w:instrText>
        </w:r>
        <w:r w:rsidR="00593E9A" w:rsidRPr="007463D6">
          <w:fldChar w:fldCharType="separate"/>
        </w:r>
        <w:r w:rsidR="00593E9A" w:rsidRPr="007463D6">
          <w:rPr>
            <w:noProof/>
          </w:rPr>
          <w:t>2</w:t>
        </w:r>
        <w:r w:rsidR="00593E9A" w:rsidRPr="007463D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9E125" w14:textId="77777777" w:rsidR="00322AF1" w:rsidRDefault="00322AF1" w:rsidP="00D878BA">
      <w:r>
        <w:separator/>
      </w:r>
    </w:p>
    <w:p w14:paraId="3AFF0462" w14:textId="77777777" w:rsidR="00322AF1" w:rsidRDefault="00322AF1" w:rsidP="00D878BA"/>
    <w:p w14:paraId="6458096D" w14:textId="77777777" w:rsidR="00322AF1" w:rsidRDefault="00322AF1" w:rsidP="00D878BA"/>
  </w:footnote>
  <w:footnote w:type="continuationSeparator" w:id="0">
    <w:p w14:paraId="4D58261A" w14:textId="77777777" w:rsidR="00322AF1" w:rsidRDefault="00322AF1" w:rsidP="00D878BA">
      <w:r>
        <w:continuationSeparator/>
      </w:r>
    </w:p>
    <w:p w14:paraId="49BA9740" w14:textId="77777777" w:rsidR="00322AF1" w:rsidRDefault="00322AF1" w:rsidP="00D878BA"/>
    <w:p w14:paraId="164949FE" w14:textId="77777777" w:rsidR="00322AF1" w:rsidRDefault="00322AF1" w:rsidP="00D87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C0BA2" w14:textId="3B454040" w:rsidR="00350945" w:rsidRPr="007463D6" w:rsidRDefault="00350945" w:rsidP="00D878BA">
    <w:pPr>
      <w:pStyle w:val="Header"/>
    </w:pPr>
    <w:r w:rsidRPr="007463D6">
      <w:t>HW#</w:t>
    </w:r>
    <w:r w:rsidR="00193430">
      <w:t>2</w:t>
    </w:r>
    <w:r w:rsidRPr="007463D6">
      <w:tab/>
    </w:r>
    <w:r w:rsidRPr="007463D6">
      <w:tab/>
      <w:t>Professor James Hedberg</w:t>
    </w:r>
  </w:p>
  <w:p w14:paraId="7D12E2F7" w14:textId="50E7D077" w:rsidR="00967F7B" w:rsidRPr="007463D6" w:rsidRDefault="00000000" w:rsidP="00D878BA">
    <w:pPr>
      <w:pStyle w:val="Header"/>
    </w:pPr>
    <w:r>
      <w:pict w14:anchorId="39888ACF"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34" style="width:0;height:1.5pt" o:hralign="center" o:bullet="t" o:hrstd="t" o:hr="t" fillcolor="#a0a0a0" stroked="f"/>
    </w:pict>
  </w:numPicBullet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6B84"/>
    <w:multiLevelType w:val="hybridMultilevel"/>
    <w:tmpl w:val="CFD48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2"/>
  </w:num>
  <w:num w:numId="2" w16cid:durableId="1090077721">
    <w:abstractNumId w:val="0"/>
  </w:num>
  <w:num w:numId="3" w16cid:durableId="111070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16C9D"/>
    <w:rsid w:val="000C2F42"/>
    <w:rsid w:val="000C3D0D"/>
    <w:rsid w:val="001170B8"/>
    <w:rsid w:val="00120DCF"/>
    <w:rsid w:val="00180A78"/>
    <w:rsid w:val="00183AC2"/>
    <w:rsid w:val="00193430"/>
    <w:rsid w:val="001D0024"/>
    <w:rsid w:val="001D3B9F"/>
    <w:rsid w:val="0020485D"/>
    <w:rsid w:val="00217D63"/>
    <w:rsid w:val="00223C50"/>
    <w:rsid w:val="00247886"/>
    <w:rsid w:val="00260F5C"/>
    <w:rsid w:val="002640B4"/>
    <w:rsid w:val="00274C12"/>
    <w:rsid w:val="002E06F4"/>
    <w:rsid w:val="002F0137"/>
    <w:rsid w:val="00300AFD"/>
    <w:rsid w:val="00322AF1"/>
    <w:rsid w:val="00350945"/>
    <w:rsid w:val="00394E4A"/>
    <w:rsid w:val="00461EE1"/>
    <w:rsid w:val="004948D9"/>
    <w:rsid w:val="004A6E5F"/>
    <w:rsid w:val="004B7A79"/>
    <w:rsid w:val="004F610F"/>
    <w:rsid w:val="00573BC4"/>
    <w:rsid w:val="00593E9A"/>
    <w:rsid w:val="005C17D3"/>
    <w:rsid w:val="005C20DD"/>
    <w:rsid w:val="00607D57"/>
    <w:rsid w:val="007338EB"/>
    <w:rsid w:val="007463D6"/>
    <w:rsid w:val="0079799A"/>
    <w:rsid w:val="007F2B9F"/>
    <w:rsid w:val="008414D3"/>
    <w:rsid w:val="00861B47"/>
    <w:rsid w:val="00865F5B"/>
    <w:rsid w:val="00884EA9"/>
    <w:rsid w:val="009252EF"/>
    <w:rsid w:val="009266B9"/>
    <w:rsid w:val="009576F5"/>
    <w:rsid w:val="0096679F"/>
    <w:rsid w:val="00967F7B"/>
    <w:rsid w:val="009E2C42"/>
    <w:rsid w:val="00A30411"/>
    <w:rsid w:val="00A92044"/>
    <w:rsid w:val="00AC020C"/>
    <w:rsid w:val="00AC369F"/>
    <w:rsid w:val="00AE24FB"/>
    <w:rsid w:val="00B333EB"/>
    <w:rsid w:val="00B42004"/>
    <w:rsid w:val="00B513D0"/>
    <w:rsid w:val="00C12733"/>
    <w:rsid w:val="00C267A3"/>
    <w:rsid w:val="00C3592E"/>
    <w:rsid w:val="00C56342"/>
    <w:rsid w:val="00C867BE"/>
    <w:rsid w:val="00CA2E21"/>
    <w:rsid w:val="00CB50D5"/>
    <w:rsid w:val="00CC1E07"/>
    <w:rsid w:val="00CF49EA"/>
    <w:rsid w:val="00D00651"/>
    <w:rsid w:val="00D372A8"/>
    <w:rsid w:val="00D72BD6"/>
    <w:rsid w:val="00D878BA"/>
    <w:rsid w:val="00DB697A"/>
    <w:rsid w:val="00E16CBF"/>
    <w:rsid w:val="00E16FF9"/>
    <w:rsid w:val="00E23C22"/>
    <w:rsid w:val="00E610F0"/>
    <w:rsid w:val="00EC4971"/>
    <w:rsid w:val="00ED259E"/>
    <w:rsid w:val="00F153F8"/>
    <w:rsid w:val="00F3320F"/>
    <w:rsid w:val="00F36321"/>
    <w:rsid w:val="00F46A36"/>
    <w:rsid w:val="00F75D3D"/>
    <w:rsid w:val="00F937CC"/>
    <w:rsid w:val="00FA1C5C"/>
    <w:rsid w:val="00FD64E2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63"/>
    <w:rPr>
      <w:rFonts w:ascii="LM Roman 12" w:hAnsi="LM Roman 1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45"/>
    <w:pPr>
      <w:spacing w:line="276" w:lineRule="auto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  <w:style w:type="paragraph" w:styleId="Caption">
    <w:name w:val="caption"/>
    <w:basedOn w:val="Normal"/>
    <w:next w:val="Normal"/>
    <w:uiPriority w:val="35"/>
    <w:unhideWhenUsed/>
    <w:qFormat/>
    <w:rsid w:val="00CA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2E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2E21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350945"/>
    <w:rPr>
      <w:rFonts w:ascii="LM Roman 12" w:hAnsi="LM Roman 12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0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A6E5F"/>
  </w:style>
  <w:style w:type="character" w:styleId="Hyperlink">
    <w:name w:val="Hyperlink"/>
    <w:basedOn w:val="DefaultParagraphFont"/>
    <w:uiPriority w:val="99"/>
    <w:unhideWhenUsed/>
    <w:rsid w:val="004A6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E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{2D9F2423-8967-4955-8488-928724B8CE8A}</b:Guid>
    <b:URL>https://colab.research.google.com/corgiredirector?site=https%3A%2F%2Fwww.latlong.net%2Fplace%2Fhuntsville-al-usa-2303.html</b:URL>
    <b:RefOrder>2</b:RefOrder>
  </b:Source>
</b:Sources>
</file>

<file path=customXml/itemProps1.xml><?xml version="1.0" encoding="utf-8"?>
<ds:datastoreItem xmlns:ds="http://schemas.openxmlformats.org/officeDocument/2006/customXml" ds:itemID="{716648CE-4529-4599-9E4F-AF377D17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49</cp:revision>
  <cp:lastPrinted>2024-03-06T20:03:00Z</cp:lastPrinted>
  <dcterms:created xsi:type="dcterms:W3CDTF">2024-02-14T04:24:00Z</dcterms:created>
  <dcterms:modified xsi:type="dcterms:W3CDTF">2024-04-10T23:36:00Z</dcterms:modified>
</cp:coreProperties>
</file>