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AB6E7" w14:textId="64B3A908" w:rsidR="001170B8" w:rsidRPr="00C12733" w:rsidRDefault="00593E9A" w:rsidP="00AC369F">
      <w:pPr>
        <w:spacing w:line="276" w:lineRule="auto"/>
      </w:pPr>
      <w:r w:rsidRPr="00C12733">
        <w:t>Jeremy Maniago</w:t>
      </w:r>
    </w:p>
    <w:p w14:paraId="53C8FC90" w14:textId="3E4E343F" w:rsidR="00593E9A" w:rsidRPr="00C12733" w:rsidRDefault="00593E9A" w:rsidP="00AC369F">
      <w:pPr>
        <w:spacing w:line="276" w:lineRule="auto"/>
      </w:pPr>
      <w:r w:rsidRPr="00C12733">
        <w:t>PHYS 454</w:t>
      </w:r>
    </w:p>
    <w:p w14:paraId="36D172AE" w14:textId="325CF0D6" w:rsidR="00593E9A" w:rsidRPr="00C12733" w:rsidRDefault="00593E9A" w:rsidP="00AC369F">
      <w:pPr>
        <w:spacing w:line="276" w:lineRule="auto"/>
      </w:pPr>
      <w:r w:rsidRPr="00C12733">
        <w:t>Professor Hedberg</w:t>
      </w:r>
    </w:p>
    <w:p w14:paraId="592686D9" w14:textId="0269128A" w:rsidR="00593E9A" w:rsidRPr="00C12733" w:rsidRDefault="00593E9A" w:rsidP="00AC369F">
      <w:pPr>
        <w:spacing w:line="276" w:lineRule="auto"/>
      </w:pPr>
      <w:r w:rsidRPr="00C12733">
        <w:t>HW#</w:t>
      </w:r>
      <w:r w:rsidR="00193430">
        <w:t>2</w:t>
      </w:r>
    </w:p>
    <w:p w14:paraId="27130264" w14:textId="6CCB4CE3" w:rsidR="00593E9A" w:rsidRPr="00C12733" w:rsidRDefault="00000000" w:rsidP="00AC369F">
      <w:pPr>
        <w:spacing w:line="276" w:lineRule="auto"/>
      </w:pPr>
      <w:r>
        <w:pict w14:anchorId="2748E11B">
          <v:rect id="_x0000_i1026" style="width:0;height:1.5pt" o:hralign="center" o:hrstd="t" o:hr="t" fillcolor="#a0a0a0" stroked="f"/>
        </w:pict>
      </w:r>
    </w:p>
    <w:p w14:paraId="7BE9C06C" w14:textId="677FEDCE" w:rsidR="00593E9A" w:rsidRPr="00350945" w:rsidRDefault="009E2C42" w:rsidP="00D72BD6">
      <w:pPr>
        <w:pStyle w:val="Heading1"/>
        <w:jc w:val="both"/>
      </w:pPr>
      <w:r w:rsidRPr="00350945">
        <w:t xml:space="preserve">Question </w:t>
      </w:r>
      <w:r w:rsidR="00593E9A" w:rsidRPr="00350945">
        <w:t>1</w:t>
      </w:r>
      <w:r w:rsidR="00350945">
        <w:t xml:space="preserve"> – </w:t>
      </w:r>
      <w:r w:rsidR="00D878BA">
        <w:t>Prove Kepler’s second law (numerically)</w:t>
      </w:r>
    </w:p>
    <w:p w14:paraId="2DB5D455" w14:textId="5B01D720" w:rsidR="004948D9" w:rsidRPr="00AC369F" w:rsidRDefault="00C3592E" w:rsidP="00D72BD6">
      <w:pPr>
        <w:spacing w:line="276" w:lineRule="auto"/>
        <w:jc w:val="both"/>
      </w:pPr>
      <w:r w:rsidRPr="00C12733">
        <w:t>a)</w:t>
      </w:r>
      <w:r w:rsidR="00B42004">
        <w:tab/>
      </w:r>
      <w:r w:rsidR="00D00651">
        <w:t xml:space="preserve">The object </w:t>
      </w:r>
      <w:r w:rsidR="00D72BD6">
        <w:t>chosen</w:t>
      </w:r>
      <w:r w:rsidR="00D00651">
        <w:t xml:space="preserve"> for this analysis is a comet orbiting the sun called Swift-Tuttle (109P). JPL Horizons</w:t>
      </w:r>
      <w:r w:rsidR="0020485D">
        <w:t xml:space="preserve"> </w:t>
      </w:r>
      <w:hyperlink w:anchor="one" w:history="1">
        <w:r w:rsidR="0020485D" w:rsidRPr="0020485D">
          <w:rPr>
            <w:rStyle w:val="Hyperlink"/>
            <w:u w:val="none"/>
          </w:rPr>
          <w:t>[1]</w:t>
        </w:r>
      </w:hyperlink>
      <w:r w:rsidR="0020485D">
        <w:t xml:space="preserve"> </w:t>
      </w:r>
      <w:r w:rsidR="00D00651">
        <w:t xml:space="preserve">was utilized to obtain vector and orbital element data for a time range from </w:t>
      </w:r>
      <w:r w:rsidR="0020485D">
        <w:t>June 15</w:t>
      </w:r>
      <w:r w:rsidR="0020485D" w:rsidRPr="0020485D">
        <w:rPr>
          <w:vertAlign w:val="superscript"/>
        </w:rPr>
        <w:t>th</w:t>
      </w:r>
      <w:r w:rsidR="0020485D">
        <w:t xml:space="preserve">, </w:t>
      </w:r>
      <w:r w:rsidR="00AC369F">
        <w:t>1737,</w:t>
      </w:r>
      <w:r w:rsidR="0020485D">
        <w:t xml:space="preserve"> to August 23</w:t>
      </w:r>
      <w:r w:rsidR="0020485D" w:rsidRPr="0020485D">
        <w:rPr>
          <w:vertAlign w:val="superscript"/>
        </w:rPr>
        <w:t>rd</w:t>
      </w:r>
      <w:r w:rsidR="0020485D">
        <w:t xml:space="preserve">, 1862 – about 125 years. According to Nasa’s small-body lookup database </w:t>
      </w:r>
      <w:hyperlink w:anchor="two" w:history="1">
        <w:r w:rsidR="0020485D" w:rsidRPr="0020485D">
          <w:rPr>
            <w:rStyle w:val="Hyperlink"/>
            <w:u w:val="none"/>
          </w:rPr>
          <w:t>[2]</w:t>
        </w:r>
      </w:hyperlink>
      <w:r w:rsidR="0020485D">
        <w:t xml:space="preserve">, </w:t>
      </w:r>
      <w:r w:rsidR="00AC369F">
        <w:t xml:space="preserve">the eccentricity of Swift-Tuttle’s orbit is around 0.96, which is highly eccentric. Some of the Swift-Tuttle’s orbital elements are shown in </w:t>
      </w:r>
      <w:r w:rsidR="00AC369F">
        <w:rPr>
          <w:b/>
          <w:bCs/>
        </w:rPr>
        <w:t>Table 1</w:t>
      </w:r>
      <w:r w:rsidR="00AC369F">
        <w:t>.</w:t>
      </w:r>
    </w:p>
    <w:tbl>
      <w:tblPr>
        <w:tblStyle w:val="TableGrid"/>
        <w:tblW w:w="0" w:type="auto"/>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0485D" w14:paraId="58275D4B" w14:textId="77777777" w:rsidTr="00AC369F">
        <w:trPr>
          <w:trHeight w:val="360"/>
          <w:jc w:val="center"/>
        </w:trPr>
        <w:tc>
          <w:tcPr>
            <w:tcW w:w="9350" w:type="dxa"/>
            <w:gridSpan w:val="2"/>
            <w:tcBorders>
              <w:top w:val="nil"/>
              <w:bottom w:val="double" w:sz="4" w:space="0" w:color="auto"/>
            </w:tcBorders>
            <w:vAlign w:val="center"/>
          </w:tcPr>
          <w:p w14:paraId="48C567AE" w14:textId="554AEB27" w:rsidR="0020485D" w:rsidRPr="00AC369F" w:rsidRDefault="0020485D" w:rsidP="00AC369F">
            <w:pPr>
              <w:spacing w:line="276" w:lineRule="auto"/>
              <w:jc w:val="center"/>
            </w:pPr>
            <w:r w:rsidRPr="00AC369F">
              <w:rPr>
                <w:sz w:val="24"/>
                <w:szCs w:val="24"/>
              </w:rPr>
              <w:t>Swift-Tuttle Orbital Elements</w:t>
            </w:r>
          </w:p>
        </w:tc>
      </w:tr>
      <w:tr w:rsidR="0020485D" w14:paraId="61510A1F" w14:textId="77777777" w:rsidTr="00AC369F">
        <w:trPr>
          <w:trHeight w:val="360"/>
          <w:jc w:val="center"/>
        </w:trPr>
        <w:tc>
          <w:tcPr>
            <w:tcW w:w="4675" w:type="dxa"/>
            <w:tcBorders>
              <w:top w:val="double" w:sz="4" w:space="0" w:color="auto"/>
            </w:tcBorders>
            <w:vAlign w:val="center"/>
          </w:tcPr>
          <w:p w14:paraId="7932F357" w14:textId="03856174" w:rsidR="0020485D" w:rsidRDefault="0020485D" w:rsidP="00AC369F">
            <w:pPr>
              <w:spacing w:line="276" w:lineRule="auto"/>
              <w:jc w:val="center"/>
            </w:pPr>
            <w:r>
              <w:t>Eccentricity</w:t>
            </w:r>
          </w:p>
        </w:tc>
        <w:tc>
          <w:tcPr>
            <w:tcW w:w="4675" w:type="dxa"/>
            <w:tcBorders>
              <w:top w:val="double" w:sz="4" w:space="0" w:color="auto"/>
            </w:tcBorders>
            <w:vAlign w:val="center"/>
          </w:tcPr>
          <w:p w14:paraId="32AE3C6E" w14:textId="3781ECA3" w:rsidR="0020485D" w:rsidRDefault="00AC369F" w:rsidP="00AC369F">
            <w:pPr>
              <w:spacing w:line="276" w:lineRule="auto"/>
              <w:jc w:val="center"/>
            </w:pPr>
            <w:r>
              <w:t>0.96</w:t>
            </w:r>
          </w:p>
        </w:tc>
      </w:tr>
      <w:tr w:rsidR="0020485D" w14:paraId="04EF0C9C" w14:textId="77777777" w:rsidTr="00AC369F">
        <w:trPr>
          <w:trHeight w:val="360"/>
          <w:jc w:val="center"/>
        </w:trPr>
        <w:tc>
          <w:tcPr>
            <w:tcW w:w="4675" w:type="dxa"/>
            <w:vAlign w:val="center"/>
          </w:tcPr>
          <w:p w14:paraId="7CFE3002" w14:textId="5C541EAB" w:rsidR="0020485D" w:rsidRDefault="0020485D" w:rsidP="00AC369F">
            <w:pPr>
              <w:spacing w:line="276" w:lineRule="auto"/>
              <w:jc w:val="center"/>
            </w:pPr>
            <w:r>
              <w:t>Inclination (w.r.t. the ecliptic plane) [deg]</w:t>
            </w:r>
          </w:p>
        </w:tc>
        <w:tc>
          <w:tcPr>
            <w:tcW w:w="4675" w:type="dxa"/>
            <w:vAlign w:val="center"/>
          </w:tcPr>
          <w:p w14:paraId="3E84BA62" w14:textId="56348292" w:rsidR="0020485D" w:rsidRDefault="00AC369F" w:rsidP="00AC369F">
            <w:pPr>
              <w:spacing w:line="276" w:lineRule="auto"/>
              <w:jc w:val="center"/>
            </w:pPr>
            <w:r>
              <w:t>113.45</w:t>
            </w:r>
          </w:p>
        </w:tc>
      </w:tr>
      <w:tr w:rsidR="0020485D" w14:paraId="196604A9" w14:textId="77777777" w:rsidTr="00260F5C">
        <w:trPr>
          <w:trHeight w:val="360"/>
          <w:jc w:val="center"/>
        </w:trPr>
        <w:tc>
          <w:tcPr>
            <w:tcW w:w="4675" w:type="dxa"/>
            <w:tcBorders>
              <w:bottom w:val="nil"/>
            </w:tcBorders>
            <w:vAlign w:val="center"/>
          </w:tcPr>
          <w:p w14:paraId="61C36954" w14:textId="14F6538B" w:rsidR="0020485D" w:rsidRDefault="0020485D" w:rsidP="00AC369F">
            <w:pPr>
              <w:spacing w:line="276" w:lineRule="auto"/>
              <w:jc w:val="center"/>
            </w:pPr>
            <w:r>
              <w:t>Perihelion [AU]</w:t>
            </w:r>
          </w:p>
        </w:tc>
        <w:tc>
          <w:tcPr>
            <w:tcW w:w="4675" w:type="dxa"/>
            <w:tcBorders>
              <w:bottom w:val="nil"/>
            </w:tcBorders>
            <w:vAlign w:val="center"/>
          </w:tcPr>
          <w:p w14:paraId="20AC9F3F" w14:textId="067736CE" w:rsidR="0020485D" w:rsidRDefault="00AC369F" w:rsidP="00AC369F">
            <w:pPr>
              <w:spacing w:line="276" w:lineRule="auto"/>
              <w:jc w:val="center"/>
            </w:pPr>
            <w:r>
              <w:t>0.96</w:t>
            </w:r>
          </w:p>
        </w:tc>
      </w:tr>
      <w:tr w:rsidR="0020485D" w14:paraId="0920E7B4" w14:textId="77777777" w:rsidTr="00260F5C">
        <w:trPr>
          <w:trHeight w:val="360"/>
          <w:jc w:val="center"/>
        </w:trPr>
        <w:tc>
          <w:tcPr>
            <w:tcW w:w="4675" w:type="dxa"/>
            <w:tcBorders>
              <w:top w:val="nil"/>
              <w:bottom w:val="double" w:sz="4" w:space="0" w:color="auto"/>
            </w:tcBorders>
            <w:vAlign w:val="center"/>
          </w:tcPr>
          <w:p w14:paraId="79CD99E3" w14:textId="696BDE9A" w:rsidR="0020485D" w:rsidRDefault="0020485D" w:rsidP="00AC369F">
            <w:pPr>
              <w:spacing w:line="276" w:lineRule="auto"/>
              <w:jc w:val="center"/>
            </w:pPr>
            <w:r>
              <w:t>Aphelion [AU]</w:t>
            </w:r>
          </w:p>
        </w:tc>
        <w:tc>
          <w:tcPr>
            <w:tcW w:w="4675" w:type="dxa"/>
            <w:tcBorders>
              <w:top w:val="nil"/>
              <w:bottom w:val="double" w:sz="4" w:space="0" w:color="auto"/>
            </w:tcBorders>
            <w:vAlign w:val="center"/>
          </w:tcPr>
          <w:p w14:paraId="5F959924" w14:textId="50F1A23E" w:rsidR="0020485D" w:rsidRDefault="00AC369F" w:rsidP="00AC369F">
            <w:pPr>
              <w:keepNext/>
              <w:spacing w:line="276" w:lineRule="auto"/>
              <w:jc w:val="center"/>
            </w:pPr>
            <w:r>
              <w:t>51.22</w:t>
            </w:r>
          </w:p>
        </w:tc>
      </w:tr>
    </w:tbl>
    <w:p w14:paraId="1419B3AC" w14:textId="75F790FF" w:rsidR="0020485D" w:rsidRPr="00AC369F" w:rsidRDefault="00AC369F" w:rsidP="00AC369F">
      <w:pPr>
        <w:pStyle w:val="Caption"/>
        <w:spacing w:line="276" w:lineRule="auto"/>
        <w:jc w:val="center"/>
        <w:rPr>
          <w:sz w:val="20"/>
          <w:szCs w:val="20"/>
        </w:rPr>
      </w:pPr>
      <w:r w:rsidRPr="00AC369F">
        <w:rPr>
          <w:sz w:val="20"/>
          <w:szCs w:val="20"/>
        </w:rPr>
        <w:t xml:space="preserve">Table </w:t>
      </w:r>
      <w:r w:rsidRPr="00AC369F">
        <w:rPr>
          <w:sz w:val="20"/>
          <w:szCs w:val="20"/>
        </w:rPr>
        <w:fldChar w:fldCharType="begin"/>
      </w:r>
      <w:r w:rsidRPr="00AC369F">
        <w:rPr>
          <w:sz w:val="20"/>
          <w:szCs w:val="20"/>
        </w:rPr>
        <w:instrText xml:space="preserve"> SEQ Table \* ARABIC </w:instrText>
      </w:r>
      <w:r w:rsidRPr="00AC369F">
        <w:rPr>
          <w:sz w:val="20"/>
          <w:szCs w:val="20"/>
        </w:rPr>
        <w:fldChar w:fldCharType="separate"/>
      </w:r>
      <w:r w:rsidR="00E610F0">
        <w:rPr>
          <w:noProof/>
          <w:sz w:val="20"/>
          <w:szCs w:val="20"/>
        </w:rPr>
        <w:t>1</w:t>
      </w:r>
      <w:r w:rsidRPr="00AC369F">
        <w:rPr>
          <w:sz w:val="20"/>
          <w:szCs w:val="20"/>
        </w:rPr>
        <w:fldChar w:fldCharType="end"/>
      </w:r>
      <w:r w:rsidRPr="00AC369F">
        <w:rPr>
          <w:sz w:val="20"/>
          <w:szCs w:val="20"/>
        </w:rPr>
        <w:t>: Orbital Elements of Swift-Tuttle's orbit</w:t>
      </w:r>
      <w:r w:rsidR="00F36321">
        <w:rPr>
          <w:sz w:val="20"/>
          <w:szCs w:val="20"/>
        </w:rPr>
        <w:t>.</w:t>
      </w:r>
    </w:p>
    <w:p w14:paraId="73BF5141" w14:textId="0398259F" w:rsidR="0096679F" w:rsidRPr="00260F5C" w:rsidRDefault="00AC369F" w:rsidP="00D72BD6">
      <w:pPr>
        <w:spacing w:line="276" w:lineRule="auto"/>
        <w:jc w:val="both"/>
      </w:pPr>
      <w:r>
        <w:t>With the range and true anomalies of the Swift-Tuttle at specific time times obtained from JPL Horizons, we can pick a smaller time range to prove Kepler’s 2</w:t>
      </w:r>
      <w:r w:rsidRPr="00AC369F">
        <w:rPr>
          <w:vertAlign w:val="superscript"/>
        </w:rPr>
        <w:t>nd</w:t>
      </w:r>
      <w:r>
        <w:t xml:space="preserve"> Law, which is that “A line connecting a planet to the Sun sweeps out equal areas in equal times”. In this case, instead of a planet we will be using a comet. A date range of </w:t>
      </w:r>
      <w:r w:rsidRPr="00260F5C">
        <w:rPr>
          <w:u w:val="single"/>
        </w:rPr>
        <w:t>240 months</w:t>
      </w:r>
      <w:r>
        <w:t xml:space="preserve"> (</w:t>
      </w:r>
      <w:r w:rsidRPr="00260F5C">
        <w:rPr>
          <w:u w:val="single"/>
        </w:rPr>
        <w:t>20 years</w:t>
      </w:r>
      <w:r>
        <w:t xml:space="preserve">) </w:t>
      </w:r>
      <w:r w:rsidR="00260F5C">
        <w:t xml:space="preserve">was chosen. The equation to numerically estimate the swept area of an ellipse is given by </w:t>
      </w:r>
      <w:r w:rsidR="00260F5C">
        <w:rPr>
          <w:b/>
          <w:bCs/>
        </w:rPr>
        <w:t>Equation 1</w:t>
      </w:r>
      <w:r w:rsidR="00260F5C">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5737"/>
        <w:gridCol w:w="467"/>
      </w:tblGrid>
      <w:tr w:rsidR="00260F5C" w14:paraId="0A45E22D" w14:textId="77777777" w:rsidTr="00F71A94">
        <w:trPr>
          <w:jc w:val="center"/>
        </w:trPr>
        <w:tc>
          <w:tcPr>
            <w:tcW w:w="350" w:type="pct"/>
            <w:vAlign w:val="center"/>
          </w:tcPr>
          <w:p w14:paraId="585EF3E6" w14:textId="77777777" w:rsidR="00260F5C" w:rsidRPr="00DB59E1" w:rsidRDefault="00260F5C" w:rsidP="00D72BD6">
            <w:pPr>
              <w:jc w:val="both"/>
              <w:rPr>
                <w:rFonts w:ascii="Times New Roman" w:hAnsi="Times New Roman"/>
              </w:rPr>
            </w:pPr>
          </w:p>
        </w:tc>
        <w:tc>
          <w:tcPr>
            <w:tcW w:w="4300" w:type="pct"/>
            <w:vAlign w:val="center"/>
          </w:tcPr>
          <w:p w14:paraId="4DBFB47E" w14:textId="61BB8063" w:rsidR="00260F5C" w:rsidRPr="00260F5C" w:rsidRDefault="00260F5C" w:rsidP="00D72BD6">
            <w:pPr>
              <w:spacing w:line="360" w:lineRule="auto"/>
              <w:jc w:val="both"/>
              <w:rPr>
                <w:rFonts w:ascii="Times New Roman" w:eastAsiaTheme="minorEastAsia" w:hAnsi="Times New Roman"/>
              </w:rPr>
            </w:pPr>
            <m:oMathPara>
              <m:oMath>
                <m:r>
                  <m:rPr>
                    <m:sty m:val="p"/>
                  </m:rPr>
                  <w:rPr>
                    <w:rFonts w:ascii="Cambria Math" w:hAnsi="Cambria Math"/>
                    <w:sz w:val="24"/>
                    <w:szCs w:val="24"/>
                  </w:rPr>
                  <m:t>Δ</m:t>
                </m:r>
                <m:r>
                  <w:rPr>
                    <w:rFonts w:ascii="Cambria Math" w:hAnsi="Cambria Math"/>
                    <w:sz w:val="24"/>
                    <w:szCs w:val="24"/>
                  </w:rPr>
                  <m:t>A=</m:t>
                </m:r>
                <m:f>
                  <m:fPr>
                    <m:ctrlPr>
                      <w:rPr>
                        <w:rFonts w:ascii="Cambria Math" w:eastAsiaTheme="minorEastAsia" w:hAnsi="Cambria Math"/>
                        <w:sz w:val="24"/>
                        <w:szCs w:val="24"/>
                      </w:rPr>
                    </m:ctrlPr>
                  </m:fPr>
                  <m:num>
                    <m:r>
                      <w:rPr>
                        <w:rFonts w:ascii="Cambria Math" w:eastAsiaTheme="minorEastAsia" w:hAnsi="Cambria Math"/>
                        <w:sz w:val="24"/>
                        <w:szCs w:val="24"/>
                      </w:rPr>
                      <m:t>1</m:t>
                    </m:r>
                    <m:ctrlPr>
                      <w:rPr>
                        <w:rFonts w:ascii="Cambria Math" w:eastAsiaTheme="minorEastAsia" w:hAnsi="Cambria Math"/>
                        <w:i/>
                        <w:sz w:val="24"/>
                        <w:szCs w:val="24"/>
                      </w:rPr>
                    </m:ctrlPr>
                  </m:num>
                  <m:den>
                    <m:r>
                      <w:rPr>
                        <w:rFonts w:ascii="Cambria Math" w:eastAsiaTheme="minorEastAsia" w:hAnsi="Cambria Math"/>
                        <w:sz w:val="24"/>
                        <w:szCs w:val="24"/>
                      </w:rPr>
                      <m:t>2</m:t>
                    </m:r>
                    <m:ctrlPr>
                      <w:rPr>
                        <w:rFonts w:ascii="Cambria Math" w:eastAsiaTheme="minorEastAsia" w:hAnsi="Cambria Math"/>
                        <w:i/>
                        <w:sz w:val="24"/>
                        <w:szCs w:val="24"/>
                      </w:rPr>
                    </m:ctrlPr>
                  </m:den>
                </m:f>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r</m:t>
                    </m:r>
                    <m:func>
                      <m:funcPr>
                        <m:ctrlPr>
                          <w:rPr>
                            <w:rFonts w:ascii="Cambria Math" w:eastAsiaTheme="minorEastAsia" w:hAnsi="Cambria Math"/>
                            <w:i/>
                            <w:sz w:val="24"/>
                            <w:szCs w:val="24"/>
                          </w:rPr>
                        </m:ctrlPr>
                      </m:funcPr>
                      <m:fName>
                        <m:r>
                          <w:rPr>
                            <w:rFonts w:ascii="Cambria Math" w:eastAsiaTheme="minorEastAsia" w:hAnsi="Cambria Math"/>
                            <w:sz w:val="24"/>
                            <w:szCs w:val="24"/>
                          </w:rPr>
                          <m:t>sin</m:t>
                        </m:r>
                      </m:fName>
                      <m:e>
                        <m:d>
                          <m:dPr>
                            <m:ctrlPr>
                              <w:rPr>
                                <w:rFonts w:ascii="Cambria Math" w:eastAsiaTheme="minorEastAsia" w:hAnsi="Cambria Math"/>
                                <w:i/>
                                <w:sz w:val="24"/>
                                <w:szCs w:val="24"/>
                              </w:rPr>
                            </m:ctrlPr>
                          </m:dPr>
                          <m:e>
                            <m:r>
                              <m:rPr>
                                <m:sty m:val="p"/>
                              </m:rPr>
                              <w:rPr>
                                <w:rFonts w:ascii="Cambria Math" w:eastAsiaTheme="minorEastAsia" w:hAnsi="Cambria Math"/>
                                <w:sz w:val="24"/>
                                <w:szCs w:val="24"/>
                              </w:rPr>
                              <m:t>Δθ</m:t>
                            </m:r>
                          </m:e>
                        </m:d>
                      </m:e>
                    </m:func>
                  </m:e>
                </m:d>
              </m:oMath>
            </m:oMathPara>
          </w:p>
        </w:tc>
        <w:tc>
          <w:tcPr>
            <w:tcW w:w="350" w:type="pct"/>
            <w:vAlign w:val="center"/>
          </w:tcPr>
          <w:p w14:paraId="4E7C1BDE" w14:textId="1B1AF9FA" w:rsidR="00260F5C" w:rsidRPr="00260F5C" w:rsidRDefault="00260F5C" w:rsidP="00D72BD6">
            <w:pPr>
              <w:spacing w:line="360" w:lineRule="auto"/>
              <w:jc w:val="both"/>
            </w:pPr>
            <w:r w:rsidRPr="00260F5C">
              <w:t>(</w:t>
            </w:r>
            <w:r w:rsidRPr="00260F5C">
              <w:fldChar w:fldCharType="begin"/>
            </w:r>
            <w:r w:rsidRPr="00260F5C">
              <w:instrText xml:space="preserve"> SEQ ( \* ARABIC </w:instrText>
            </w:r>
            <w:r w:rsidRPr="00260F5C">
              <w:fldChar w:fldCharType="separate"/>
            </w:r>
            <w:r w:rsidR="00E610F0">
              <w:rPr>
                <w:noProof/>
              </w:rPr>
              <w:t>1</w:t>
            </w:r>
            <w:r w:rsidRPr="00260F5C">
              <w:fldChar w:fldCharType="end"/>
            </w:r>
            <w:r w:rsidRPr="00260F5C">
              <w:t>)</w:t>
            </w:r>
          </w:p>
        </w:tc>
      </w:tr>
    </w:tbl>
    <w:p w14:paraId="6308711E" w14:textId="50CEB25C" w:rsidR="00260F5C" w:rsidRPr="00260F5C" w:rsidRDefault="00260F5C" w:rsidP="00D72BD6">
      <w:pPr>
        <w:spacing w:line="276" w:lineRule="auto"/>
        <w:jc w:val="both"/>
        <w:rPr>
          <w:rFonts w:eastAsiaTheme="minorEastAsia"/>
          <w:sz w:val="24"/>
          <w:szCs w:val="24"/>
        </w:rPr>
      </w:pPr>
      <w:r>
        <w:tab/>
        <w:t xml:space="preserve">where </w:t>
      </w:r>
      <m:oMath>
        <m:sSup>
          <m:sSupPr>
            <m:ctrlPr>
              <w:rPr>
                <w:rFonts w:ascii="Cambria Math" w:eastAsiaTheme="minorEastAsia" w:hAnsi="Cambria Math"/>
                <w:i/>
                <w:kern w:val="0"/>
                <w14:ligatures w14:val="none"/>
              </w:rPr>
            </m:ctrlPr>
          </m:sSupPr>
          <m:e>
            <m:r>
              <w:rPr>
                <w:rFonts w:ascii="Cambria Math" w:eastAsiaTheme="minorEastAsia" w:hAnsi="Cambria Math"/>
              </w:rPr>
              <m:t>r</m:t>
            </m:r>
            <m:ctrlPr>
              <w:rPr>
                <w:rFonts w:ascii="Cambria Math" w:eastAsiaTheme="minorEastAsia" w:hAnsi="Cambria Math"/>
                <w:i/>
              </w:rPr>
            </m:ctrlPr>
          </m:e>
          <m:sup>
            <m:r>
              <w:rPr>
                <w:rFonts w:ascii="Cambria Math" w:eastAsiaTheme="minorEastAsia" w:hAnsi="Cambria Math"/>
                <w:kern w:val="0"/>
                <w14:ligatures w14:val="none"/>
              </w:rPr>
              <m:t>'</m:t>
            </m:r>
          </m:sup>
        </m:sSup>
      </m:oMath>
      <w:r>
        <w:rPr>
          <w:rFonts w:eastAsiaTheme="minorEastAsia"/>
          <w:kern w:val="0"/>
          <w14:ligatures w14:val="none"/>
        </w:rPr>
        <w:t xml:space="preserve"> is the final range (distance from comet to sun), </w:t>
      </w:r>
      <m:oMath>
        <m:r>
          <w:rPr>
            <w:rFonts w:ascii="Cambria Math" w:eastAsiaTheme="minorEastAsia" w:hAnsi="Cambria Math"/>
            <w:kern w:val="0"/>
            <w14:ligatures w14:val="none"/>
          </w:rPr>
          <m:t>r</m:t>
        </m:r>
      </m:oMath>
      <w:r>
        <w:rPr>
          <w:rFonts w:eastAsiaTheme="minorEastAsia"/>
          <w:kern w:val="0"/>
          <w14:ligatures w14:val="none"/>
        </w:rPr>
        <w:t xml:space="preserve"> is the initial range, and </w:t>
      </w:r>
      <m:oMath>
        <m:r>
          <m:rPr>
            <m:sty m:val="p"/>
          </m:rPr>
          <w:rPr>
            <w:rFonts w:ascii="Cambria Math" w:eastAsiaTheme="minorEastAsia" w:hAnsi="Cambria Math"/>
          </w:rPr>
          <m:t>Δ</m:t>
        </m:r>
        <m:r>
          <w:rPr>
            <w:rFonts w:ascii="Cambria Math" w:eastAsiaTheme="minorEastAsia" w:hAnsi="Cambria Math"/>
          </w:rPr>
          <m:t>θ</m:t>
        </m:r>
      </m:oMath>
      <w:r>
        <w:rPr>
          <w:rFonts w:eastAsiaTheme="minorEastAsia"/>
        </w:rPr>
        <w:t xml:space="preserve"> is the difference in the true anomalies from the initial and final time, which can be defined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5737"/>
        <w:gridCol w:w="467"/>
      </w:tblGrid>
      <w:tr w:rsidR="00260F5C" w14:paraId="3925DDF4" w14:textId="77777777" w:rsidTr="004F610F">
        <w:trPr>
          <w:trHeight w:val="360"/>
          <w:jc w:val="center"/>
        </w:trPr>
        <w:tc>
          <w:tcPr>
            <w:tcW w:w="350" w:type="pct"/>
            <w:vAlign w:val="center"/>
          </w:tcPr>
          <w:p w14:paraId="55E8826F" w14:textId="77777777" w:rsidR="00260F5C" w:rsidRDefault="00260F5C" w:rsidP="00D72BD6">
            <w:pPr>
              <w:spacing w:after="0" w:line="360" w:lineRule="auto"/>
              <w:jc w:val="both"/>
              <w:rPr>
                <w:rFonts w:ascii="Times New Roman" w:hAnsi="Times New Roman"/>
                <w:kern w:val="0"/>
                <w14:ligatures w14:val="none"/>
              </w:rPr>
            </w:pPr>
          </w:p>
        </w:tc>
        <w:tc>
          <w:tcPr>
            <w:tcW w:w="4300" w:type="pct"/>
            <w:vAlign w:val="center"/>
            <w:hideMark/>
          </w:tcPr>
          <w:p w14:paraId="254AD874" w14:textId="435EB03C" w:rsidR="004F610F" w:rsidRPr="004F610F" w:rsidRDefault="004F610F" w:rsidP="00D72BD6">
            <w:pPr>
              <w:spacing w:line="360" w:lineRule="auto"/>
              <w:jc w:val="both"/>
              <w:rPr>
                <w:rFonts w:ascii="Times New Roman" w:eastAsiaTheme="minorEastAsia" w:hAnsi="Times New Roman"/>
                <w:sz w:val="24"/>
                <w:szCs w:val="24"/>
              </w:rPr>
            </w:pPr>
            <m:oMathPara>
              <m:oMath>
                <m:r>
                  <m:rPr>
                    <m:sty m:val="p"/>
                  </m:rPr>
                  <w:rPr>
                    <w:rFonts w:ascii="Cambria Math" w:eastAsiaTheme="minorEastAsia" w:hAnsi="Cambria Math"/>
                    <w:sz w:val="24"/>
                    <w:szCs w:val="24"/>
                  </w:rPr>
                  <m:t>Δ</m:t>
                </m:r>
                <m:r>
                  <w:rPr>
                    <w:rFonts w:ascii="Cambria Math" w:eastAsiaTheme="minorEastAsia" w:hAnsi="Cambria Math"/>
                    <w:sz w:val="24"/>
                    <w:szCs w:val="24"/>
                  </w:rPr>
                  <m:t>θ</m:t>
                </m:r>
                <m:r>
                  <m:rPr>
                    <m:sty m:val="p"/>
                  </m:rPr>
                  <w:rPr>
                    <w:rFonts w:ascii="Cambria Math" w:eastAsiaTheme="minorEastAsia" w:hAnsi="Cambria Math"/>
                    <w:sz w:val="24"/>
                    <w:szCs w:val="24"/>
                  </w:rPr>
                  <m:t>=</m:t>
                </m:r>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θ</m:t>
                    </m:r>
                    <m:ctrlPr>
                      <w:rPr>
                        <w:rFonts w:ascii="Cambria Math" w:eastAsiaTheme="minorEastAsia" w:hAnsi="Cambria Math"/>
                        <w:sz w:val="24"/>
                        <w:szCs w:val="24"/>
                      </w:rPr>
                    </m:ctrlP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θ</m:t>
                </m:r>
              </m:oMath>
            </m:oMathPara>
          </w:p>
          <w:p w14:paraId="53E0C3CD" w14:textId="6E6D377A" w:rsidR="004F610F" w:rsidRPr="004F610F" w:rsidRDefault="004F610F" w:rsidP="00D72BD6">
            <w:pPr>
              <w:spacing w:line="360" w:lineRule="auto"/>
              <w:jc w:val="both"/>
              <w:rPr>
                <w:rFonts w:ascii="Times New Roman" w:eastAsiaTheme="minorEastAsia" w:hAnsi="Times New Roman"/>
                <w:sz w:val="24"/>
                <w:szCs w:val="24"/>
              </w:rPr>
            </w:pPr>
          </w:p>
        </w:tc>
        <w:tc>
          <w:tcPr>
            <w:tcW w:w="350" w:type="pct"/>
            <w:vAlign w:val="center"/>
            <w:hideMark/>
          </w:tcPr>
          <w:p w14:paraId="70C46364" w14:textId="516DD8FF" w:rsidR="00260F5C" w:rsidRDefault="00260F5C" w:rsidP="00D72BD6">
            <w:pPr>
              <w:spacing w:line="360" w:lineRule="auto"/>
              <w:jc w:val="both"/>
            </w:pPr>
            <w:r>
              <w:t>(</w:t>
            </w:r>
            <w:r>
              <w:t>2</w:t>
            </w:r>
            <w:r>
              <w:t>)</w:t>
            </w:r>
          </w:p>
        </w:tc>
      </w:tr>
    </w:tbl>
    <w:p w14:paraId="588CF2B8" w14:textId="0D375F44" w:rsidR="00260F5C" w:rsidRPr="004F610F" w:rsidRDefault="00260F5C" w:rsidP="00D72BD6">
      <w:pPr>
        <w:spacing w:line="276" w:lineRule="auto"/>
        <w:jc w:val="both"/>
        <w:rPr>
          <w:rFonts w:eastAsiaTheme="minorEastAsia"/>
          <w:kern w:val="0"/>
          <w14:ligatures w14:val="none"/>
        </w:rPr>
      </w:pPr>
      <w:r>
        <w:rPr>
          <w:rFonts w:eastAsiaTheme="minorEastAsia"/>
          <w:kern w:val="0"/>
          <w14:ligatures w14:val="none"/>
        </w:rPr>
        <w:t>The first 20-year range was from 1739 to 1759 (starting and ending on February 2</w:t>
      </w:r>
      <w:r w:rsidRPr="00260F5C">
        <w:rPr>
          <w:rFonts w:eastAsiaTheme="minorEastAsia"/>
          <w:kern w:val="0"/>
          <w:vertAlign w:val="superscript"/>
          <w14:ligatures w14:val="none"/>
        </w:rPr>
        <w:t>nd</w:t>
      </w:r>
      <w:r>
        <w:rPr>
          <w:rFonts w:eastAsiaTheme="minorEastAsia"/>
          <w:kern w:val="0"/>
          <w14:ligatures w14:val="none"/>
        </w:rPr>
        <w:t xml:space="preserve">), and the swept area was approximated to </w:t>
      </w:r>
      <w:r w:rsidRPr="004F610F">
        <w:rPr>
          <w:rFonts w:eastAsiaTheme="minorEastAsia"/>
          <w:b/>
          <w:bCs/>
          <w:kern w:val="0"/>
          <w14:ligatures w14:val="none"/>
        </w:rPr>
        <w:t>4931.61 AU</w:t>
      </w:r>
      <w:r w:rsidRPr="004F610F">
        <w:rPr>
          <w:rFonts w:eastAsiaTheme="minorEastAsia"/>
          <w:b/>
          <w:bCs/>
          <w:kern w:val="0"/>
          <w:vertAlign w:val="superscript"/>
          <w14:ligatures w14:val="none"/>
        </w:rPr>
        <w:t>2</w:t>
      </w:r>
      <w:r>
        <w:rPr>
          <w:rFonts w:eastAsiaTheme="minorEastAsia"/>
          <w:kern w:val="0"/>
          <w14:ligatures w14:val="none"/>
        </w:rPr>
        <w:t>. The second 20-year range was from 1829 to 1849 (starting and ending on Februar</w:t>
      </w:r>
      <w:r w:rsidR="004F610F">
        <w:rPr>
          <w:rFonts w:eastAsiaTheme="minorEastAsia"/>
          <w:kern w:val="0"/>
          <w14:ligatures w14:val="none"/>
        </w:rPr>
        <w:t>y</w:t>
      </w:r>
      <w:r>
        <w:rPr>
          <w:rFonts w:eastAsiaTheme="minorEastAsia"/>
          <w:kern w:val="0"/>
          <w14:ligatures w14:val="none"/>
        </w:rPr>
        <w:t xml:space="preserve"> </w:t>
      </w:r>
      <w:r w:rsidR="004F610F">
        <w:rPr>
          <w:rFonts w:eastAsiaTheme="minorEastAsia"/>
          <w:kern w:val="0"/>
          <w14:ligatures w14:val="none"/>
        </w:rPr>
        <w:t>2</w:t>
      </w:r>
      <w:r w:rsidR="004F610F" w:rsidRPr="004F610F">
        <w:rPr>
          <w:rFonts w:eastAsiaTheme="minorEastAsia"/>
          <w:kern w:val="0"/>
          <w:vertAlign w:val="superscript"/>
          <w14:ligatures w14:val="none"/>
        </w:rPr>
        <w:t>nd</w:t>
      </w:r>
      <w:r w:rsidR="004F610F">
        <w:rPr>
          <w:rFonts w:eastAsiaTheme="minorEastAsia"/>
          <w:kern w:val="0"/>
          <w14:ligatures w14:val="none"/>
        </w:rPr>
        <w:t xml:space="preserve">), and the swept area was approximated to </w:t>
      </w:r>
      <w:r w:rsidR="004F610F" w:rsidRPr="004F610F">
        <w:rPr>
          <w:rFonts w:eastAsiaTheme="minorEastAsia"/>
          <w:b/>
          <w:bCs/>
          <w:kern w:val="0"/>
          <w14:ligatures w14:val="none"/>
        </w:rPr>
        <w:t>4967.84 AU</w:t>
      </w:r>
      <w:r w:rsidR="004F610F" w:rsidRPr="004F610F">
        <w:rPr>
          <w:rFonts w:eastAsiaTheme="minorEastAsia"/>
          <w:b/>
          <w:bCs/>
          <w:kern w:val="0"/>
          <w:vertAlign w:val="superscript"/>
          <w14:ligatures w14:val="none"/>
        </w:rPr>
        <w:t>2</w:t>
      </w:r>
      <w:r w:rsidR="004F610F">
        <w:rPr>
          <w:rFonts w:eastAsiaTheme="minorEastAsia"/>
          <w:kern w:val="0"/>
          <w14:ligatures w14:val="none"/>
        </w:rPr>
        <w:t>. These values are, although varying  by 31 AU</w:t>
      </w:r>
      <w:r w:rsidR="004F610F">
        <w:rPr>
          <w:rFonts w:eastAsiaTheme="minorEastAsia"/>
          <w:kern w:val="0"/>
          <w:vertAlign w:val="superscript"/>
          <w14:ligatures w14:val="none"/>
        </w:rPr>
        <w:t>2</w:t>
      </w:r>
      <w:r w:rsidR="004F610F">
        <w:rPr>
          <w:rFonts w:eastAsiaTheme="minorEastAsia"/>
          <w:kern w:val="0"/>
          <w14:ligatures w14:val="none"/>
        </w:rPr>
        <w:t xml:space="preserve"> in calculated area, are close enough to prove Kepler’s 2</w:t>
      </w:r>
      <w:r w:rsidR="004F610F" w:rsidRPr="004F610F">
        <w:rPr>
          <w:rFonts w:eastAsiaTheme="minorEastAsia"/>
          <w:kern w:val="0"/>
          <w:vertAlign w:val="superscript"/>
          <w14:ligatures w14:val="none"/>
        </w:rPr>
        <w:t>nd</w:t>
      </w:r>
      <w:r w:rsidR="004F610F">
        <w:rPr>
          <w:rFonts w:eastAsiaTheme="minorEastAsia"/>
          <w:kern w:val="0"/>
          <w14:ligatures w14:val="none"/>
        </w:rPr>
        <w:t xml:space="preserve"> Law. The percent error from the second and first area is a mere </w:t>
      </w:r>
      <w:r w:rsidR="004F610F" w:rsidRPr="004F610F">
        <w:rPr>
          <w:rFonts w:eastAsiaTheme="minorEastAsia"/>
          <w:b/>
          <w:bCs/>
          <w:kern w:val="0"/>
          <w14:ligatures w14:val="none"/>
        </w:rPr>
        <w:t>0.73%</w:t>
      </w:r>
      <w:r w:rsidR="004F610F">
        <w:rPr>
          <w:rFonts w:eastAsiaTheme="minorEastAsia"/>
          <w:kern w:val="0"/>
          <w14:ligatures w14:val="none"/>
        </w:rPr>
        <w:t>. Reasons for this error is due to data uncertainties and the nature of numerical methods being only approximations of a true value.</w:t>
      </w:r>
    </w:p>
    <w:p w14:paraId="7D0A6249" w14:textId="48CAB2C7" w:rsidR="004948D9" w:rsidRPr="004F610F" w:rsidRDefault="00C3592E" w:rsidP="00D72BD6">
      <w:pPr>
        <w:spacing w:line="276" w:lineRule="auto"/>
        <w:jc w:val="both"/>
      </w:pPr>
      <w:r w:rsidRPr="00C12733">
        <w:lastRenderedPageBreak/>
        <w:t xml:space="preserve">b) </w:t>
      </w:r>
      <w:r w:rsidR="004F610F">
        <w:rPr>
          <w:b/>
          <w:bCs/>
        </w:rPr>
        <w:t>Figure 1</w:t>
      </w:r>
      <w:r w:rsidR="004F610F">
        <w:t xml:space="preserve"> shows four plots</w:t>
      </w:r>
      <w:r w:rsidR="00183AC2">
        <w:t xml:space="preserve">. The first </w:t>
      </w:r>
      <w:r w:rsidR="00394E4A">
        <w:t>plot (top left) shows</w:t>
      </w:r>
      <w:r w:rsidR="00183AC2">
        <w:t xml:space="preserve"> Swift-Tuttle’s orbit around the sun with earth’s orbit as reference. The second </w:t>
      </w:r>
      <w:r w:rsidR="00394E4A">
        <w:t xml:space="preserve">plot (top right) </w:t>
      </w:r>
      <w:r w:rsidR="00183AC2">
        <w:t xml:space="preserve">is a zoomed in version of the first plot to better see earth’s orbit compared to Swift-Tuttle’s. We can see that the perihelion of the comet is in fact a little smaller than the radius of earth’s orbit, which is 1 AU. </w:t>
      </w:r>
      <w:r w:rsidR="00394E4A">
        <w:t>The third plot (bottom left) represents the calculated swept area for the first-time range, and the fourth plot (bottom right) represents the calculated swept area for the second-time range. The reason for plotting the orbit in 3D is because the inclination of Swift-Tuttle’s orbit is off of the Sun-Earth ecliptic plane. The full orbit of the comet cannot be seen in just two dimensions.</w:t>
      </w:r>
    </w:p>
    <w:p w14:paraId="537AA14E" w14:textId="77777777" w:rsidR="00E16FF9" w:rsidRDefault="0096679F" w:rsidP="00E16FF9">
      <w:pPr>
        <w:keepNext/>
        <w:spacing w:line="276" w:lineRule="auto"/>
        <w:jc w:val="center"/>
      </w:pPr>
      <w:r>
        <w:rPr>
          <w:noProof/>
        </w:rPr>
        <w:drawing>
          <wp:inline distT="0" distB="0" distL="0" distR="0" wp14:anchorId="0B0C0DBA" wp14:editId="4AD29B11">
            <wp:extent cx="5820082" cy="5429458"/>
            <wp:effectExtent l="57150" t="57150" r="104775" b="95250"/>
            <wp:docPr id="1519121794"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21794" name="Picture 3" descr="A screenshot of a graph&#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4844" t="7457" r="5543" b="8944"/>
                    <a:stretch/>
                  </pic:blipFill>
                  <pic:spPr bwMode="auto">
                    <a:xfrm>
                      <a:off x="0" y="0"/>
                      <a:ext cx="5850033" cy="5457398"/>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2204020" w14:textId="51759272" w:rsidR="0096679F" w:rsidRPr="00E16FF9" w:rsidRDefault="00E16FF9" w:rsidP="00E16FF9">
      <w:pPr>
        <w:pStyle w:val="Caption"/>
        <w:jc w:val="center"/>
        <w:rPr>
          <w:sz w:val="20"/>
          <w:szCs w:val="20"/>
        </w:rPr>
      </w:pPr>
      <w:r w:rsidRPr="00E16FF9">
        <w:rPr>
          <w:sz w:val="20"/>
          <w:szCs w:val="20"/>
        </w:rPr>
        <w:t xml:space="preserve">Figure </w:t>
      </w:r>
      <w:r w:rsidRPr="00E16FF9">
        <w:rPr>
          <w:sz w:val="20"/>
          <w:szCs w:val="20"/>
        </w:rPr>
        <w:fldChar w:fldCharType="begin"/>
      </w:r>
      <w:r w:rsidRPr="00E16FF9">
        <w:rPr>
          <w:sz w:val="20"/>
          <w:szCs w:val="20"/>
        </w:rPr>
        <w:instrText xml:space="preserve"> SEQ Figure \* ARABIC </w:instrText>
      </w:r>
      <w:r w:rsidRPr="00E16FF9">
        <w:rPr>
          <w:sz w:val="20"/>
          <w:szCs w:val="20"/>
        </w:rPr>
        <w:fldChar w:fldCharType="separate"/>
      </w:r>
      <w:r w:rsidR="00E610F0">
        <w:rPr>
          <w:noProof/>
          <w:sz w:val="20"/>
          <w:szCs w:val="20"/>
        </w:rPr>
        <w:t>1</w:t>
      </w:r>
      <w:r w:rsidRPr="00E16FF9">
        <w:rPr>
          <w:sz w:val="20"/>
          <w:szCs w:val="20"/>
        </w:rPr>
        <w:fldChar w:fldCharType="end"/>
      </w:r>
      <w:r w:rsidRPr="00E16FF9">
        <w:rPr>
          <w:sz w:val="20"/>
          <w:szCs w:val="20"/>
        </w:rPr>
        <w:t>: Plots of Swift-Tuttle's orbit. The view angle is defined as 20 deg elevation, 55 deg azimuth, and 0 deg roll</w:t>
      </w:r>
      <w:r w:rsidR="00F36321">
        <w:rPr>
          <w:sz w:val="20"/>
          <w:szCs w:val="20"/>
        </w:rPr>
        <w:t>.</w:t>
      </w:r>
    </w:p>
    <w:p w14:paraId="598E66CA" w14:textId="0ED40627" w:rsidR="007463D6" w:rsidRPr="00D878BA" w:rsidRDefault="00000000" w:rsidP="00AC369F">
      <w:pPr>
        <w:spacing w:line="276" w:lineRule="auto"/>
      </w:pPr>
      <w:r>
        <w:pict w14:anchorId="1400620C">
          <v:rect id="_x0000_i1027" style="width:0;height:1.5pt" o:hralign="center" o:bullet="t" o:hrstd="t" o:hr="t" fillcolor="#a0a0a0" stroked="f"/>
        </w:pict>
      </w:r>
    </w:p>
    <w:p w14:paraId="079C418A" w14:textId="55BC9515" w:rsidR="00F153F8" w:rsidRDefault="00EC4971" w:rsidP="00AC369F">
      <w:pPr>
        <w:pStyle w:val="Heading1"/>
      </w:pPr>
      <w:r w:rsidRPr="00EC4971">
        <w:lastRenderedPageBreak/>
        <w:t>Question 2</w:t>
      </w:r>
      <w:r w:rsidR="00350945">
        <w:t xml:space="preserve"> – </w:t>
      </w:r>
      <w:r w:rsidR="00D878BA">
        <w:t>(Not) to Scale</w:t>
      </w:r>
    </w:p>
    <w:p w14:paraId="035DDCF9" w14:textId="77777777" w:rsidR="00F36321" w:rsidRDefault="00B42004" w:rsidP="00D72BD6">
      <w:pPr>
        <w:jc w:val="both"/>
      </w:pPr>
      <w:r>
        <w:tab/>
        <w:t xml:space="preserve">The image shown in </w:t>
      </w:r>
      <w:r>
        <w:rPr>
          <w:b/>
          <w:bCs/>
        </w:rPr>
        <w:t>Figure 2</w:t>
      </w:r>
      <w:r>
        <w:t xml:space="preserve"> shows the sun and the planets of the solar system (image was pulled from Google). Although the order of the planets are correct, the sizes and the distances are highly inaccurate and not scaled properly. </w:t>
      </w:r>
    </w:p>
    <w:p w14:paraId="6881182D" w14:textId="77777777" w:rsidR="00F36321" w:rsidRDefault="00F36321" w:rsidP="00F36321">
      <w:pPr>
        <w:keepNext/>
        <w:jc w:val="center"/>
      </w:pPr>
      <w:r>
        <w:rPr>
          <w:noProof/>
        </w:rPr>
        <w:drawing>
          <wp:inline distT="0" distB="0" distL="0" distR="0" wp14:anchorId="02140B0F" wp14:editId="743AB41B">
            <wp:extent cx="5281766" cy="3250882"/>
            <wp:effectExtent l="57150" t="57150" r="90805" b="102235"/>
            <wp:docPr id="1265112190" name="Picture 4" descr="A solar system with planets and su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112190" name="Picture 4" descr="A solar system with planets and su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2281" cy="3251199"/>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7B9E047F" w14:textId="2BA9B3B2" w:rsidR="00F36321" w:rsidRPr="00F36321" w:rsidRDefault="00F36321" w:rsidP="00F36321">
      <w:pPr>
        <w:pStyle w:val="Caption"/>
        <w:jc w:val="center"/>
        <w:rPr>
          <w:sz w:val="20"/>
          <w:szCs w:val="20"/>
        </w:rPr>
      </w:pPr>
      <w:r w:rsidRPr="00F36321">
        <w:rPr>
          <w:sz w:val="20"/>
          <w:szCs w:val="20"/>
        </w:rPr>
        <w:t xml:space="preserve">Figure </w:t>
      </w:r>
      <w:r w:rsidRPr="00F36321">
        <w:rPr>
          <w:sz w:val="20"/>
          <w:szCs w:val="20"/>
        </w:rPr>
        <w:fldChar w:fldCharType="begin"/>
      </w:r>
      <w:r w:rsidRPr="00F36321">
        <w:rPr>
          <w:sz w:val="20"/>
          <w:szCs w:val="20"/>
        </w:rPr>
        <w:instrText xml:space="preserve"> SEQ Figure \* ARABIC </w:instrText>
      </w:r>
      <w:r w:rsidRPr="00F36321">
        <w:rPr>
          <w:sz w:val="20"/>
          <w:szCs w:val="20"/>
        </w:rPr>
        <w:fldChar w:fldCharType="separate"/>
      </w:r>
      <w:r w:rsidR="00E610F0">
        <w:rPr>
          <w:noProof/>
          <w:sz w:val="20"/>
          <w:szCs w:val="20"/>
        </w:rPr>
        <w:t>2</w:t>
      </w:r>
      <w:r w:rsidRPr="00F36321">
        <w:rPr>
          <w:sz w:val="20"/>
          <w:szCs w:val="20"/>
        </w:rPr>
        <w:fldChar w:fldCharType="end"/>
      </w:r>
      <w:r w:rsidRPr="00F36321">
        <w:rPr>
          <w:sz w:val="20"/>
          <w:szCs w:val="20"/>
        </w:rPr>
        <w:t xml:space="preserve">: Model of Solar System planets and </w:t>
      </w:r>
      <w:proofErr w:type="gramStart"/>
      <w:r w:rsidRPr="00F36321">
        <w:rPr>
          <w:sz w:val="20"/>
          <w:szCs w:val="20"/>
        </w:rPr>
        <w:t>Sun</w:t>
      </w:r>
      <w:proofErr w:type="gramEnd"/>
    </w:p>
    <w:p w14:paraId="1C63B14D" w14:textId="4B5FF785" w:rsidR="00F36321" w:rsidRPr="00B42004" w:rsidRDefault="00B42004" w:rsidP="00D72BD6">
      <w:pPr>
        <w:jc w:val="both"/>
      </w:pPr>
      <w:r>
        <w:t>The sizes of the planets are obviously not scale</w:t>
      </w:r>
      <w:r w:rsidR="00217D63">
        <w:t>d</w:t>
      </w:r>
      <w:r>
        <w:t xml:space="preserve"> (Earth should not be more than half the size of Jupiter). To </w:t>
      </w:r>
      <w:r w:rsidR="00217D63">
        <w:t>put it</w:t>
      </w:r>
      <w:r>
        <w:t xml:space="preserve"> into perspective, the distance between the Earth and Sun is 1 AU. From </w:t>
      </w:r>
      <w:r w:rsidR="00217D63">
        <w:t xml:space="preserve">NASA’s JPL spec sheet </w:t>
      </w:r>
      <w:hyperlink w:anchor="three" w:history="1">
        <w:r w:rsidR="00217D63" w:rsidRPr="00217D63">
          <w:rPr>
            <w:rStyle w:val="Hyperlink"/>
            <w:u w:val="none"/>
          </w:rPr>
          <w:t>[3]</w:t>
        </w:r>
      </w:hyperlink>
      <w:r w:rsidR="00217D63">
        <w:t xml:space="preserve">, the distances of the planets and the sun are shown in </w:t>
      </w:r>
      <w:r w:rsidR="00217D63">
        <w:rPr>
          <w:b/>
          <w:bCs/>
        </w:rPr>
        <w:t>Table 2</w:t>
      </w:r>
      <w:r w:rsidR="00217D63">
        <w:t>.</w:t>
      </w:r>
    </w:p>
    <w:tbl>
      <w:tblPr>
        <w:tblStyle w:val="TableGrid"/>
        <w:tblW w:w="0" w:type="auto"/>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17D63" w14:paraId="1BE25E60" w14:textId="77777777" w:rsidTr="00963ED9">
        <w:trPr>
          <w:trHeight w:val="360"/>
          <w:jc w:val="center"/>
        </w:trPr>
        <w:tc>
          <w:tcPr>
            <w:tcW w:w="9350" w:type="dxa"/>
            <w:gridSpan w:val="2"/>
            <w:tcBorders>
              <w:top w:val="nil"/>
              <w:bottom w:val="double" w:sz="4" w:space="0" w:color="auto"/>
            </w:tcBorders>
            <w:vAlign w:val="center"/>
          </w:tcPr>
          <w:p w14:paraId="28FA0D71" w14:textId="228B9A76" w:rsidR="00217D63" w:rsidRPr="00AC369F" w:rsidRDefault="00217D63" w:rsidP="00963ED9">
            <w:pPr>
              <w:spacing w:line="276" w:lineRule="auto"/>
              <w:jc w:val="center"/>
            </w:pPr>
            <w:r>
              <w:rPr>
                <w:sz w:val="24"/>
                <w:szCs w:val="24"/>
              </w:rPr>
              <w:t>Distances of planets to the Sun [AU]</w:t>
            </w:r>
          </w:p>
        </w:tc>
      </w:tr>
      <w:tr w:rsidR="00217D63" w14:paraId="7AB364F0" w14:textId="77777777" w:rsidTr="00963ED9">
        <w:trPr>
          <w:trHeight w:val="360"/>
          <w:jc w:val="center"/>
        </w:trPr>
        <w:tc>
          <w:tcPr>
            <w:tcW w:w="4675" w:type="dxa"/>
            <w:tcBorders>
              <w:top w:val="double" w:sz="4" w:space="0" w:color="auto"/>
            </w:tcBorders>
            <w:vAlign w:val="center"/>
          </w:tcPr>
          <w:p w14:paraId="564B56CD" w14:textId="2D9CCD00" w:rsidR="00217D63" w:rsidRDefault="00217D63" w:rsidP="00963ED9">
            <w:pPr>
              <w:spacing w:line="276" w:lineRule="auto"/>
              <w:jc w:val="center"/>
            </w:pPr>
            <w:r>
              <w:t>Mercury</w:t>
            </w:r>
          </w:p>
        </w:tc>
        <w:tc>
          <w:tcPr>
            <w:tcW w:w="4675" w:type="dxa"/>
            <w:tcBorders>
              <w:top w:val="double" w:sz="4" w:space="0" w:color="auto"/>
            </w:tcBorders>
            <w:vAlign w:val="center"/>
          </w:tcPr>
          <w:p w14:paraId="234DCCB8" w14:textId="3E4F2F51" w:rsidR="00217D63" w:rsidRDefault="00217D63" w:rsidP="00963ED9">
            <w:pPr>
              <w:spacing w:line="276" w:lineRule="auto"/>
              <w:jc w:val="center"/>
            </w:pPr>
            <w:r>
              <w:t>0.4</w:t>
            </w:r>
          </w:p>
        </w:tc>
      </w:tr>
      <w:tr w:rsidR="00217D63" w14:paraId="35860E2C" w14:textId="77777777" w:rsidTr="00963ED9">
        <w:trPr>
          <w:trHeight w:val="360"/>
          <w:jc w:val="center"/>
        </w:trPr>
        <w:tc>
          <w:tcPr>
            <w:tcW w:w="4675" w:type="dxa"/>
            <w:vAlign w:val="center"/>
          </w:tcPr>
          <w:p w14:paraId="4F3450EF" w14:textId="47551BF4" w:rsidR="00217D63" w:rsidRDefault="00217D63" w:rsidP="00963ED9">
            <w:pPr>
              <w:spacing w:line="276" w:lineRule="auto"/>
              <w:jc w:val="center"/>
            </w:pPr>
            <w:r>
              <w:t>Venus</w:t>
            </w:r>
          </w:p>
        </w:tc>
        <w:tc>
          <w:tcPr>
            <w:tcW w:w="4675" w:type="dxa"/>
            <w:vAlign w:val="center"/>
          </w:tcPr>
          <w:p w14:paraId="2511C382" w14:textId="3EF87BD3" w:rsidR="00217D63" w:rsidRDefault="00217D63" w:rsidP="00963ED9">
            <w:pPr>
              <w:spacing w:line="276" w:lineRule="auto"/>
              <w:jc w:val="center"/>
            </w:pPr>
            <w:r>
              <w:t>0.7</w:t>
            </w:r>
          </w:p>
        </w:tc>
      </w:tr>
      <w:tr w:rsidR="00217D63" w14:paraId="2E4B5F2E" w14:textId="77777777" w:rsidTr="00963ED9">
        <w:trPr>
          <w:trHeight w:val="360"/>
          <w:jc w:val="center"/>
        </w:trPr>
        <w:tc>
          <w:tcPr>
            <w:tcW w:w="4675" w:type="dxa"/>
            <w:tcBorders>
              <w:bottom w:val="nil"/>
            </w:tcBorders>
            <w:vAlign w:val="center"/>
          </w:tcPr>
          <w:p w14:paraId="72DA6D72" w14:textId="3389D6E9" w:rsidR="00217D63" w:rsidRDefault="00217D63" w:rsidP="00963ED9">
            <w:pPr>
              <w:spacing w:line="276" w:lineRule="auto"/>
              <w:jc w:val="center"/>
            </w:pPr>
            <w:r>
              <w:t>Earth</w:t>
            </w:r>
          </w:p>
        </w:tc>
        <w:tc>
          <w:tcPr>
            <w:tcW w:w="4675" w:type="dxa"/>
            <w:tcBorders>
              <w:bottom w:val="nil"/>
            </w:tcBorders>
            <w:vAlign w:val="center"/>
          </w:tcPr>
          <w:p w14:paraId="40A5A8D9" w14:textId="184218CA" w:rsidR="00217D63" w:rsidRDefault="00217D63" w:rsidP="00963ED9">
            <w:pPr>
              <w:spacing w:line="276" w:lineRule="auto"/>
              <w:jc w:val="center"/>
            </w:pPr>
            <w:r>
              <w:t>1.0</w:t>
            </w:r>
          </w:p>
        </w:tc>
      </w:tr>
      <w:tr w:rsidR="00217D63" w14:paraId="0BD148B0" w14:textId="77777777" w:rsidTr="00217D63">
        <w:trPr>
          <w:trHeight w:val="360"/>
          <w:jc w:val="center"/>
        </w:trPr>
        <w:tc>
          <w:tcPr>
            <w:tcW w:w="4675" w:type="dxa"/>
            <w:tcBorders>
              <w:top w:val="nil"/>
              <w:bottom w:val="nil"/>
            </w:tcBorders>
            <w:vAlign w:val="center"/>
          </w:tcPr>
          <w:p w14:paraId="1C8F3317" w14:textId="1025222F" w:rsidR="00217D63" w:rsidRDefault="00217D63" w:rsidP="00963ED9">
            <w:pPr>
              <w:spacing w:line="276" w:lineRule="auto"/>
              <w:jc w:val="center"/>
            </w:pPr>
            <w:r>
              <w:t>Mars</w:t>
            </w:r>
          </w:p>
        </w:tc>
        <w:tc>
          <w:tcPr>
            <w:tcW w:w="4675" w:type="dxa"/>
            <w:tcBorders>
              <w:top w:val="nil"/>
              <w:bottom w:val="nil"/>
            </w:tcBorders>
            <w:vAlign w:val="center"/>
          </w:tcPr>
          <w:p w14:paraId="3CA7C8DB" w14:textId="2975CF97" w:rsidR="00217D63" w:rsidRDefault="00217D63" w:rsidP="00963ED9">
            <w:pPr>
              <w:keepNext/>
              <w:spacing w:line="276" w:lineRule="auto"/>
              <w:jc w:val="center"/>
            </w:pPr>
            <w:r>
              <w:t>1.5</w:t>
            </w:r>
          </w:p>
        </w:tc>
      </w:tr>
      <w:tr w:rsidR="00217D63" w14:paraId="52CA0DD2" w14:textId="77777777" w:rsidTr="00217D63">
        <w:trPr>
          <w:trHeight w:val="360"/>
          <w:jc w:val="center"/>
        </w:trPr>
        <w:tc>
          <w:tcPr>
            <w:tcW w:w="4675" w:type="dxa"/>
            <w:tcBorders>
              <w:top w:val="nil"/>
              <w:bottom w:val="nil"/>
            </w:tcBorders>
            <w:vAlign w:val="center"/>
          </w:tcPr>
          <w:p w14:paraId="5D43E0DF" w14:textId="2E2004E3" w:rsidR="00217D63" w:rsidRDefault="00217D63" w:rsidP="00963ED9">
            <w:pPr>
              <w:spacing w:line="276" w:lineRule="auto"/>
              <w:jc w:val="center"/>
            </w:pPr>
            <w:r>
              <w:t>Jupiter</w:t>
            </w:r>
          </w:p>
        </w:tc>
        <w:tc>
          <w:tcPr>
            <w:tcW w:w="4675" w:type="dxa"/>
            <w:tcBorders>
              <w:top w:val="nil"/>
              <w:bottom w:val="nil"/>
            </w:tcBorders>
            <w:vAlign w:val="center"/>
          </w:tcPr>
          <w:p w14:paraId="1016B929" w14:textId="4FCD051A" w:rsidR="00217D63" w:rsidRDefault="00217D63" w:rsidP="00963ED9">
            <w:pPr>
              <w:keepNext/>
              <w:spacing w:line="276" w:lineRule="auto"/>
              <w:jc w:val="center"/>
            </w:pPr>
            <w:r>
              <w:t>5.2</w:t>
            </w:r>
          </w:p>
        </w:tc>
      </w:tr>
      <w:tr w:rsidR="00217D63" w14:paraId="20915B0A" w14:textId="77777777" w:rsidTr="00217D63">
        <w:trPr>
          <w:trHeight w:val="360"/>
          <w:jc w:val="center"/>
        </w:trPr>
        <w:tc>
          <w:tcPr>
            <w:tcW w:w="4675" w:type="dxa"/>
            <w:tcBorders>
              <w:top w:val="nil"/>
              <w:bottom w:val="nil"/>
            </w:tcBorders>
            <w:vAlign w:val="center"/>
          </w:tcPr>
          <w:p w14:paraId="643B38E2" w14:textId="5981062B" w:rsidR="00217D63" w:rsidRDefault="00217D63" w:rsidP="00963ED9">
            <w:pPr>
              <w:spacing w:line="276" w:lineRule="auto"/>
              <w:jc w:val="center"/>
            </w:pPr>
            <w:r>
              <w:t>Saturn</w:t>
            </w:r>
          </w:p>
        </w:tc>
        <w:tc>
          <w:tcPr>
            <w:tcW w:w="4675" w:type="dxa"/>
            <w:tcBorders>
              <w:top w:val="nil"/>
              <w:bottom w:val="nil"/>
            </w:tcBorders>
            <w:vAlign w:val="center"/>
          </w:tcPr>
          <w:p w14:paraId="4F0226A5" w14:textId="59C82191" w:rsidR="00217D63" w:rsidRDefault="00217D63" w:rsidP="00963ED9">
            <w:pPr>
              <w:keepNext/>
              <w:spacing w:line="276" w:lineRule="auto"/>
              <w:jc w:val="center"/>
            </w:pPr>
            <w:r>
              <w:t>9.6</w:t>
            </w:r>
          </w:p>
        </w:tc>
      </w:tr>
      <w:tr w:rsidR="00217D63" w14:paraId="11BED596" w14:textId="77777777" w:rsidTr="00217D63">
        <w:trPr>
          <w:trHeight w:val="360"/>
          <w:jc w:val="center"/>
        </w:trPr>
        <w:tc>
          <w:tcPr>
            <w:tcW w:w="4675" w:type="dxa"/>
            <w:tcBorders>
              <w:top w:val="nil"/>
              <w:bottom w:val="nil"/>
            </w:tcBorders>
            <w:vAlign w:val="center"/>
          </w:tcPr>
          <w:p w14:paraId="5C6C3242" w14:textId="2F4DC57B" w:rsidR="00217D63" w:rsidRDefault="00217D63" w:rsidP="00963ED9">
            <w:pPr>
              <w:spacing w:line="276" w:lineRule="auto"/>
              <w:jc w:val="center"/>
            </w:pPr>
            <w:r>
              <w:t>Uranus</w:t>
            </w:r>
          </w:p>
        </w:tc>
        <w:tc>
          <w:tcPr>
            <w:tcW w:w="4675" w:type="dxa"/>
            <w:tcBorders>
              <w:top w:val="nil"/>
              <w:bottom w:val="nil"/>
            </w:tcBorders>
            <w:vAlign w:val="center"/>
          </w:tcPr>
          <w:p w14:paraId="3DD0E3C5" w14:textId="184F5CEA" w:rsidR="00217D63" w:rsidRDefault="00217D63" w:rsidP="00963ED9">
            <w:pPr>
              <w:keepNext/>
              <w:spacing w:line="276" w:lineRule="auto"/>
              <w:jc w:val="center"/>
            </w:pPr>
            <w:r>
              <w:t>19.2</w:t>
            </w:r>
          </w:p>
        </w:tc>
      </w:tr>
      <w:tr w:rsidR="00217D63" w14:paraId="76CAD32F" w14:textId="77777777" w:rsidTr="00217D63">
        <w:trPr>
          <w:trHeight w:val="360"/>
          <w:jc w:val="center"/>
        </w:trPr>
        <w:tc>
          <w:tcPr>
            <w:tcW w:w="4675" w:type="dxa"/>
            <w:tcBorders>
              <w:top w:val="nil"/>
              <w:bottom w:val="nil"/>
            </w:tcBorders>
            <w:vAlign w:val="center"/>
          </w:tcPr>
          <w:p w14:paraId="39D93967" w14:textId="3E9334C0" w:rsidR="00217D63" w:rsidRDefault="00217D63" w:rsidP="00963ED9">
            <w:pPr>
              <w:spacing w:line="276" w:lineRule="auto"/>
              <w:jc w:val="center"/>
            </w:pPr>
            <w:r>
              <w:t>Neptune</w:t>
            </w:r>
          </w:p>
        </w:tc>
        <w:tc>
          <w:tcPr>
            <w:tcW w:w="4675" w:type="dxa"/>
            <w:tcBorders>
              <w:top w:val="nil"/>
              <w:bottom w:val="nil"/>
            </w:tcBorders>
            <w:vAlign w:val="center"/>
          </w:tcPr>
          <w:p w14:paraId="5D7BF09E" w14:textId="50CA7698" w:rsidR="00217D63" w:rsidRDefault="00217D63" w:rsidP="00963ED9">
            <w:pPr>
              <w:keepNext/>
              <w:spacing w:line="276" w:lineRule="auto"/>
              <w:jc w:val="center"/>
            </w:pPr>
            <w:r>
              <w:t>30.0</w:t>
            </w:r>
          </w:p>
        </w:tc>
      </w:tr>
      <w:tr w:rsidR="00217D63" w14:paraId="185915E1" w14:textId="77777777" w:rsidTr="00963ED9">
        <w:trPr>
          <w:trHeight w:val="360"/>
          <w:jc w:val="center"/>
        </w:trPr>
        <w:tc>
          <w:tcPr>
            <w:tcW w:w="4675" w:type="dxa"/>
            <w:tcBorders>
              <w:top w:val="nil"/>
              <w:bottom w:val="double" w:sz="4" w:space="0" w:color="auto"/>
            </w:tcBorders>
            <w:vAlign w:val="center"/>
          </w:tcPr>
          <w:p w14:paraId="41EFF3B4" w14:textId="34F451C4" w:rsidR="00217D63" w:rsidRDefault="00217D63" w:rsidP="00963ED9">
            <w:pPr>
              <w:spacing w:line="276" w:lineRule="auto"/>
              <w:jc w:val="center"/>
            </w:pPr>
            <w:r>
              <w:t>Pluto</w:t>
            </w:r>
          </w:p>
        </w:tc>
        <w:tc>
          <w:tcPr>
            <w:tcW w:w="4675" w:type="dxa"/>
            <w:tcBorders>
              <w:top w:val="nil"/>
              <w:bottom w:val="double" w:sz="4" w:space="0" w:color="auto"/>
            </w:tcBorders>
            <w:vAlign w:val="center"/>
          </w:tcPr>
          <w:p w14:paraId="2D650AB9" w14:textId="3EE6287E" w:rsidR="00217D63" w:rsidRDefault="00217D63" w:rsidP="00963ED9">
            <w:pPr>
              <w:keepNext/>
              <w:spacing w:line="276" w:lineRule="auto"/>
              <w:jc w:val="center"/>
            </w:pPr>
            <w:r>
              <w:t>39.5 (average)</w:t>
            </w:r>
          </w:p>
        </w:tc>
      </w:tr>
    </w:tbl>
    <w:p w14:paraId="76DE3438" w14:textId="2309C227" w:rsidR="00217D63" w:rsidRPr="00AC369F" w:rsidRDefault="00217D63" w:rsidP="00217D63">
      <w:pPr>
        <w:pStyle w:val="Caption"/>
        <w:spacing w:line="276" w:lineRule="auto"/>
        <w:jc w:val="center"/>
        <w:rPr>
          <w:sz w:val="20"/>
          <w:szCs w:val="20"/>
        </w:rPr>
      </w:pPr>
      <w:r w:rsidRPr="00AC369F">
        <w:rPr>
          <w:sz w:val="20"/>
          <w:szCs w:val="20"/>
        </w:rPr>
        <w:t xml:space="preserve">Table </w:t>
      </w:r>
      <w:r>
        <w:rPr>
          <w:sz w:val="20"/>
          <w:szCs w:val="20"/>
        </w:rPr>
        <w:t>2</w:t>
      </w:r>
      <w:r w:rsidRPr="00AC369F">
        <w:rPr>
          <w:sz w:val="20"/>
          <w:szCs w:val="20"/>
        </w:rPr>
        <w:t xml:space="preserve">: </w:t>
      </w:r>
      <w:r>
        <w:rPr>
          <w:sz w:val="20"/>
          <w:szCs w:val="20"/>
        </w:rPr>
        <w:t xml:space="preserve">Distances of solar system planets to the sun, in astronomical units. Pluto is included as </w:t>
      </w:r>
      <w:r w:rsidR="00F36321">
        <w:rPr>
          <w:sz w:val="20"/>
          <w:szCs w:val="20"/>
        </w:rPr>
        <w:t>well.</w:t>
      </w:r>
      <w:r>
        <w:rPr>
          <w:sz w:val="20"/>
          <w:szCs w:val="20"/>
        </w:rPr>
        <w:t xml:space="preserve"> </w:t>
      </w:r>
    </w:p>
    <w:p w14:paraId="051DB0CF" w14:textId="7CC8CE7D" w:rsidR="00350945" w:rsidRDefault="00F36321" w:rsidP="00D72BD6">
      <w:pPr>
        <w:jc w:val="both"/>
      </w:pPr>
      <w:r>
        <w:lastRenderedPageBreak/>
        <w:t xml:space="preserve">We can compare the distance from the sun of Jupiter compared to that of Mars – almost 5 times in magnitude, yet in </w:t>
      </w:r>
      <w:r>
        <w:rPr>
          <w:b/>
          <w:bCs/>
        </w:rPr>
        <w:t>Figure 2</w:t>
      </w:r>
      <w:r>
        <w:t xml:space="preserve"> their orbits are relatively close. The </w:t>
      </w:r>
      <w:r w:rsidR="00D72BD6">
        <w:t>jump from Uranus and Pluto is large as well, yet in the figure the distances between their orbits, and thus their distances to the sun are almost equivalent when comparing the planets</w:t>
      </w:r>
      <w:r w:rsidR="002640B4">
        <w:t>’</w:t>
      </w:r>
      <w:r w:rsidR="00D72BD6">
        <w:t xml:space="preserve"> </w:t>
      </w:r>
      <w:r w:rsidR="0079799A">
        <w:t xml:space="preserve">distances </w:t>
      </w:r>
      <w:r w:rsidR="00D72BD6">
        <w:t>to their neighbors</w:t>
      </w:r>
      <w:r w:rsidR="00E16CBF">
        <w:t>’</w:t>
      </w:r>
      <w:r w:rsidR="00D72BD6">
        <w:t xml:space="preserve"> distances to the sun.</w:t>
      </w:r>
    </w:p>
    <w:p w14:paraId="03F64271" w14:textId="5695795A" w:rsidR="00E23C22" w:rsidRPr="007338EB" w:rsidRDefault="00000000" w:rsidP="00AC369F">
      <w:pPr>
        <w:spacing w:line="276" w:lineRule="auto"/>
      </w:pPr>
      <w:r>
        <w:pict w14:anchorId="5F8A4567">
          <v:rect id="_x0000_i1028" style="width:0;height:1.5pt" o:hralign="center" o:bullet="t" o:hrstd="t" o:hr="t" fillcolor="#a0a0a0" stroked="f"/>
        </w:pict>
      </w:r>
    </w:p>
    <w:p w14:paraId="43CA9899" w14:textId="0FC72DE0" w:rsidR="00E23C22" w:rsidRDefault="00E23C22" w:rsidP="00AC369F">
      <w:pPr>
        <w:pStyle w:val="Heading1"/>
      </w:pPr>
      <w:r>
        <w:t xml:space="preserve">Question 3 – </w:t>
      </w:r>
      <w:r w:rsidR="008414D3">
        <w:t>IM1 Mission</w:t>
      </w:r>
    </w:p>
    <w:p w14:paraId="52D177FD" w14:textId="5F3ECB48" w:rsidR="002F0137" w:rsidRPr="00D72BD6" w:rsidRDefault="002F0137" w:rsidP="00B333EB">
      <w:pPr>
        <w:spacing w:line="276" w:lineRule="auto"/>
        <w:jc w:val="both"/>
      </w:pPr>
      <w:r w:rsidRPr="00D878BA">
        <w:t>a)</w:t>
      </w:r>
      <w:r w:rsidR="00D72BD6">
        <w:tab/>
        <w:t>The IM1 mission l launched on February 15</w:t>
      </w:r>
      <w:r w:rsidR="00D72BD6" w:rsidRPr="00D72BD6">
        <w:rPr>
          <w:vertAlign w:val="superscript"/>
        </w:rPr>
        <w:t>th</w:t>
      </w:r>
      <w:r w:rsidR="00D72BD6">
        <w:t xml:space="preserve">, 2024, at approximately 06:06:47 TDB. The IM1 vector data was obtained from JPL Horizons </w:t>
      </w:r>
      <w:hyperlink w:anchor="one" w:history="1">
        <w:r w:rsidR="00D72BD6" w:rsidRPr="00D72BD6">
          <w:rPr>
            <w:rStyle w:val="Hyperlink"/>
            <w:u w:val="none"/>
          </w:rPr>
          <w:t>[1]</w:t>
        </w:r>
      </w:hyperlink>
      <w:r w:rsidR="00D72BD6">
        <w:t>, with data from launch until February 22</w:t>
      </w:r>
      <w:r w:rsidR="00D72BD6" w:rsidRPr="00D72BD6">
        <w:rPr>
          <w:vertAlign w:val="superscript"/>
        </w:rPr>
        <w:t>nd</w:t>
      </w:r>
      <w:r w:rsidR="00D72BD6">
        <w:t xml:space="preserve">, 2024, and approximately 22:50:09 TDB. The trajectory of IM1 and the Moon’s orbit, both with respect to the Earth-Moon barycenter, is shown in </w:t>
      </w:r>
      <w:r w:rsidR="00D72BD6">
        <w:rPr>
          <w:b/>
          <w:bCs/>
        </w:rPr>
        <w:t>Figure 3</w:t>
      </w:r>
      <w:r w:rsidR="00D72BD6">
        <w:t>.</w:t>
      </w:r>
    </w:p>
    <w:p w14:paraId="47A5DC02" w14:textId="77777777" w:rsidR="00D72BD6" w:rsidRDefault="0096679F" w:rsidP="00D72BD6">
      <w:pPr>
        <w:keepNext/>
        <w:spacing w:line="276" w:lineRule="auto"/>
        <w:jc w:val="center"/>
      </w:pPr>
      <w:r>
        <w:rPr>
          <w:noProof/>
        </w:rPr>
        <w:drawing>
          <wp:inline distT="0" distB="0" distL="0" distR="0" wp14:anchorId="5EFCF031" wp14:editId="6F7C873D">
            <wp:extent cx="4917057" cy="4959733"/>
            <wp:effectExtent l="57150" t="57150" r="93345" b="88900"/>
            <wp:docPr id="361117598" name="Picture 5" descr="A graph of the moon and ear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17598" name="Picture 5" descr="A graph of the moon and earth&#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5503" t="6291" r="4866" b="3302"/>
                    <a:stretch/>
                  </pic:blipFill>
                  <pic:spPr bwMode="auto">
                    <a:xfrm>
                      <a:off x="0" y="0"/>
                      <a:ext cx="4917479" cy="4960158"/>
                    </a:xfrm>
                    <a:prstGeom prst="rect">
                      <a:avLst/>
                    </a:prstGeom>
                    <a:noFill/>
                    <a:ln>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4DB1704" w14:textId="2D67C332" w:rsidR="0096679F" w:rsidRDefault="00D72BD6" w:rsidP="00D72BD6">
      <w:pPr>
        <w:pStyle w:val="Caption"/>
        <w:jc w:val="center"/>
        <w:rPr>
          <w:sz w:val="20"/>
          <w:szCs w:val="20"/>
        </w:rPr>
      </w:pPr>
      <w:r w:rsidRPr="00D72BD6">
        <w:rPr>
          <w:sz w:val="20"/>
          <w:szCs w:val="20"/>
        </w:rPr>
        <w:t xml:space="preserve">Figure </w:t>
      </w:r>
      <w:r w:rsidRPr="00D72BD6">
        <w:rPr>
          <w:sz w:val="20"/>
          <w:szCs w:val="20"/>
        </w:rPr>
        <w:fldChar w:fldCharType="begin"/>
      </w:r>
      <w:r w:rsidRPr="00D72BD6">
        <w:rPr>
          <w:sz w:val="20"/>
          <w:szCs w:val="20"/>
        </w:rPr>
        <w:instrText xml:space="preserve"> SEQ Figure \* ARABIC </w:instrText>
      </w:r>
      <w:r w:rsidRPr="00D72BD6">
        <w:rPr>
          <w:sz w:val="20"/>
          <w:szCs w:val="20"/>
        </w:rPr>
        <w:fldChar w:fldCharType="separate"/>
      </w:r>
      <w:r w:rsidR="00E610F0">
        <w:rPr>
          <w:noProof/>
          <w:sz w:val="20"/>
          <w:szCs w:val="20"/>
        </w:rPr>
        <w:t>3</w:t>
      </w:r>
      <w:r w:rsidRPr="00D72BD6">
        <w:rPr>
          <w:sz w:val="20"/>
          <w:szCs w:val="20"/>
        </w:rPr>
        <w:fldChar w:fldCharType="end"/>
      </w:r>
      <w:r w:rsidRPr="00D72BD6">
        <w:rPr>
          <w:sz w:val="20"/>
          <w:szCs w:val="20"/>
        </w:rPr>
        <w:t>: Trajectory of IM1 mission from</w:t>
      </w:r>
      <w:r>
        <w:rPr>
          <w:sz w:val="20"/>
          <w:szCs w:val="20"/>
        </w:rPr>
        <w:t xml:space="preserve"> the</w:t>
      </w:r>
      <w:r w:rsidRPr="00D72BD6">
        <w:rPr>
          <w:sz w:val="20"/>
          <w:szCs w:val="20"/>
        </w:rPr>
        <w:t xml:space="preserve"> Earth to </w:t>
      </w:r>
      <w:r>
        <w:rPr>
          <w:sz w:val="20"/>
          <w:szCs w:val="20"/>
        </w:rPr>
        <w:t xml:space="preserve">the </w:t>
      </w:r>
      <w:r w:rsidRPr="00D72BD6">
        <w:rPr>
          <w:sz w:val="20"/>
          <w:szCs w:val="20"/>
        </w:rPr>
        <w:t>Moon.</w:t>
      </w:r>
    </w:p>
    <w:p w14:paraId="65D69AF9" w14:textId="77777777" w:rsidR="00D72BD6" w:rsidRPr="00D72BD6" w:rsidRDefault="00D72BD6" w:rsidP="00D72BD6"/>
    <w:p w14:paraId="183434CD" w14:textId="542A1BB1" w:rsidR="004B7A79" w:rsidRPr="00D72BD6" w:rsidRDefault="002F0137" w:rsidP="00B333EB">
      <w:pPr>
        <w:spacing w:line="276" w:lineRule="auto"/>
        <w:jc w:val="both"/>
      </w:pPr>
      <w:r>
        <w:lastRenderedPageBreak/>
        <w:t xml:space="preserve">b) </w:t>
      </w:r>
      <w:r w:rsidR="00D72BD6">
        <w:rPr>
          <w:b/>
          <w:bCs/>
        </w:rPr>
        <w:t>Figure 4</w:t>
      </w:r>
      <w:r w:rsidR="00D72BD6">
        <w:t xml:space="preserve"> shows the same IM1 mission, but from a 3D point of view. It can be seen that the trajectory of IM1 is not entirely coplanar to the ecliptic plane of the Earth and Moon.</w:t>
      </w:r>
    </w:p>
    <w:p w14:paraId="0209AFC2" w14:textId="77777777" w:rsidR="00D72BD6" w:rsidRDefault="0096679F" w:rsidP="00D72BD6">
      <w:pPr>
        <w:keepNext/>
        <w:spacing w:line="276" w:lineRule="auto"/>
        <w:jc w:val="center"/>
      </w:pPr>
      <w:r>
        <w:rPr>
          <w:noProof/>
        </w:rPr>
        <w:drawing>
          <wp:inline distT="0" distB="0" distL="0" distR="0" wp14:anchorId="267A030D" wp14:editId="174810CF">
            <wp:extent cx="4623758" cy="4623606"/>
            <wp:effectExtent l="57150" t="57150" r="100965" b="100965"/>
            <wp:docPr id="401236959" name="Picture 6"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36959" name="Picture 6" descr="A screen shot of a graph&#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8805" t="5032" r="6916" b="10692"/>
                    <a:stretch/>
                  </pic:blipFill>
                  <pic:spPr bwMode="auto">
                    <a:xfrm>
                      <a:off x="0" y="0"/>
                      <a:ext cx="4623902" cy="4623750"/>
                    </a:xfrm>
                    <a:prstGeom prst="rect">
                      <a:avLst/>
                    </a:prstGeom>
                    <a:noFill/>
                    <a:ln>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19F113BB" w14:textId="162372CE" w:rsidR="0096679F" w:rsidRDefault="00D72BD6" w:rsidP="00D72BD6">
      <w:pPr>
        <w:pStyle w:val="Caption"/>
        <w:jc w:val="center"/>
        <w:rPr>
          <w:sz w:val="20"/>
          <w:szCs w:val="20"/>
        </w:rPr>
      </w:pPr>
      <w:r w:rsidRPr="00D72BD6">
        <w:rPr>
          <w:sz w:val="20"/>
          <w:szCs w:val="20"/>
        </w:rPr>
        <w:t xml:space="preserve">Figure </w:t>
      </w:r>
      <w:r w:rsidRPr="00D72BD6">
        <w:rPr>
          <w:sz w:val="20"/>
          <w:szCs w:val="20"/>
        </w:rPr>
        <w:fldChar w:fldCharType="begin"/>
      </w:r>
      <w:r w:rsidRPr="00D72BD6">
        <w:rPr>
          <w:sz w:val="20"/>
          <w:szCs w:val="20"/>
        </w:rPr>
        <w:instrText xml:space="preserve"> SEQ Figure \* ARABIC </w:instrText>
      </w:r>
      <w:r w:rsidRPr="00D72BD6">
        <w:rPr>
          <w:sz w:val="20"/>
          <w:szCs w:val="20"/>
        </w:rPr>
        <w:fldChar w:fldCharType="separate"/>
      </w:r>
      <w:r w:rsidR="00E610F0">
        <w:rPr>
          <w:noProof/>
          <w:sz w:val="20"/>
          <w:szCs w:val="20"/>
        </w:rPr>
        <w:t>4</w:t>
      </w:r>
      <w:r w:rsidRPr="00D72BD6">
        <w:rPr>
          <w:sz w:val="20"/>
          <w:szCs w:val="20"/>
        </w:rPr>
        <w:fldChar w:fldCharType="end"/>
      </w:r>
      <w:r w:rsidRPr="00D72BD6">
        <w:rPr>
          <w:sz w:val="20"/>
          <w:szCs w:val="20"/>
        </w:rPr>
        <w:t>: Trajectory of IM1 mission</w:t>
      </w:r>
      <w:r>
        <w:rPr>
          <w:sz w:val="20"/>
          <w:szCs w:val="20"/>
        </w:rPr>
        <w:t xml:space="preserve"> from the Earth to the Moon in 3D. The view angle is defined as 20 deg </w:t>
      </w:r>
      <w:r w:rsidR="00B333EB">
        <w:rPr>
          <w:sz w:val="20"/>
          <w:szCs w:val="20"/>
        </w:rPr>
        <w:t>elevation, 70 deg azimuth, and 0 deg roll.</w:t>
      </w:r>
    </w:p>
    <w:p w14:paraId="7680A1B9" w14:textId="77777777" w:rsidR="00B333EB" w:rsidRDefault="00B333EB" w:rsidP="00B333EB"/>
    <w:p w14:paraId="249DF2E0" w14:textId="14F95DA6" w:rsidR="00B333EB" w:rsidRPr="00B333EB" w:rsidRDefault="00B333EB" w:rsidP="00B333EB">
      <w:pPr>
        <w:ind w:firstLine="720"/>
      </w:pPr>
      <w:r>
        <w:t xml:space="preserve">The next plot was prepared with different vector data. Instead of using the Earth-Moon barycenter as the reference center, the Moon was used. This changes the relative vector positions of the Earth and IM1’s trajectory. </w:t>
      </w:r>
      <w:r>
        <w:rPr>
          <w:b/>
          <w:bCs/>
        </w:rPr>
        <w:t>Figure 5</w:t>
      </w:r>
      <w:r>
        <w:t xml:space="preserve"> shows the trajectory of both the Earth and IM1 with respect to the Moon center. It can be seen that at launch, the trajectory is more curved and eventually spirals toward the Moon, which is static in this coordinate reference system. Earth continues to move with respect to the moon.</w:t>
      </w:r>
    </w:p>
    <w:p w14:paraId="264B2631" w14:textId="77777777" w:rsidR="00B333EB" w:rsidRDefault="00D00651" w:rsidP="00B333EB">
      <w:pPr>
        <w:keepNext/>
        <w:spacing w:line="276" w:lineRule="auto"/>
        <w:jc w:val="center"/>
      </w:pPr>
      <w:r>
        <w:rPr>
          <w:noProof/>
        </w:rPr>
        <w:lastRenderedPageBreak/>
        <w:drawing>
          <wp:inline distT="0" distB="0" distL="0" distR="0" wp14:anchorId="48304D62" wp14:editId="19744EA4">
            <wp:extent cx="4925961" cy="4675103"/>
            <wp:effectExtent l="57150" t="57150" r="103505" b="87630"/>
            <wp:docPr id="1639141491" name="Picture 1" descr="A graph of earth and m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41491" name="Picture 1" descr="A graph of earth and moon&#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3898" t="6451" r="6315" b="8333"/>
                    <a:stretch/>
                  </pic:blipFill>
                  <pic:spPr bwMode="auto">
                    <a:xfrm>
                      <a:off x="0" y="0"/>
                      <a:ext cx="4926095" cy="4675230"/>
                    </a:xfrm>
                    <a:prstGeom prst="rect">
                      <a:avLst/>
                    </a:prstGeom>
                    <a:noFill/>
                    <a:ln>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6F8E68D6" w14:textId="7AD01AA2" w:rsidR="004B7A79" w:rsidRPr="00120DCF" w:rsidRDefault="00B333EB" w:rsidP="00120DCF">
      <w:pPr>
        <w:pStyle w:val="Caption"/>
        <w:jc w:val="center"/>
        <w:rPr>
          <w:sz w:val="20"/>
          <w:szCs w:val="20"/>
        </w:rPr>
      </w:pPr>
      <w:r w:rsidRPr="00B333EB">
        <w:rPr>
          <w:sz w:val="20"/>
          <w:szCs w:val="20"/>
        </w:rPr>
        <w:t xml:space="preserve">Figure </w:t>
      </w:r>
      <w:r w:rsidRPr="00B333EB">
        <w:rPr>
          <w:sz w:val="20"/>
          <w:szCs w:val="20"/>
        </w:rPr>
        <w:fldChar w:fldCharType="begin"/>
      </w:r>
      <w:r w:rsidRPr="00B333EB">
        <w:rPr>
          <w:sz w:val="20"/>
          <w:szCs w:val="20"/>
        </w:rPr>
        <w:instrText xml:space="preserve"> SEQ Figure \* ARABIC </w:instrText>
      </w:r>
      <w:r w:rsidRPr="00B333EB">
        <w:rPr>
          <w:sz w:val="20"/>
          <w:szCs w:val="20"/>
        </w:rPr>
        <w:fldChar w:fldCharType="separate"/>
      </w:r>
      <w:r w:rsidR="00E610F0">
        <w:rPr>
          <w:noProof/>
          <w:sz w:val="20"/>
          <w:szCs w:val="20"/>
        </w:rPr>
        <w:t>5</w:t>
      </w:r>
      <w:r w:rsidRPr="00B333EB">
        <w:rPr>
          <w:sz w:val="20"/>
          <w:szCs w:val="20"/>
        </w:rPr>
        <w:fldChar w:fldCharType="end"/>
      </w:r>
      <w:r w:rsidRPr="00B333EB">
        <w:rPr>
          <w:sz w:val="20"/>
          <w:szCs w:val="20"/>
        </w:rPr>
        <w:t>: Trajectory of IM1 mission from the Earth to the Moon with respect to the Moon center. The view angle is defined as 25 deg elevation, 45 deg azimuth, and 0 deg roll.</w:t>
      </w:r>
    </w:p>
    <w:p w14:paraId="29BDB257" w14:textId="7B6D5F31" w:rsidR="000C3D0D" w:rsidRDefault="00000000" w:rsidP="00AC369F">
      <w:pPr>
        <w:spacing w:line="276" w:lineRule="auto"/>
      </w:pPr>
      <w:r>
        <w:pict w14:anchorId="7C58F2F3">
          <v:rect id="_x0000_i1029" style="width:0;height:1.5pt" o:hralign="center" o:bullet="t" o:hrstd="t" o:hr="t" fillcolor="#a0a0a0" stroked="f"/>
        </w:pict>
      </w:r>
    </w:p>
    <w:p w14:paraId="4BEFCB4C" w14:textId="15A06939" w:rsidR="000C3D0D" w:rsidRDefault="000C3D0D" w:rsidP="00AC369F">
      <w:pPr>
        <w:pStyle w:val="Heading1"/>
      </w:pPr>
      <w:r>
        <w:t>References</w:t>
      </w:r>
    </w:p>
    <w:p w14:paraId="13506651" w14:textId="5EAFE1EF" w:rsidR="000C3D0D" w:rsidRPr="00A30411" w:rsidRDefault="004A6E5F" w:rsidP="00AC369F">
      <w:pPr>
        <w:spacing w:line="276" w:lineRule="auto"/>
      </w:pPr>
      <w:bookmarkStart w:id="0" w:name="one"/>
      <w:r w:rsidRPr="00A30411">
        <w:t>[1]</w:t>
      </w:r>
      <w:r w:rsidR="00223C50" w:rsidRPr="00A30411">
        <w:t xml:space="preserve"> </w:t>
      </w:r>
      <w:hyperlink r:id="rId13" w:anchor="/" w:history="1">
        <w:r w:rsidR="00461EE1" w:rsidRPr="00A30411">
          <w:rPr>
            <w:rStyle w:val="Hyperlink"/>
          </w:rPr>
          <w:t>Horizons System (nasa.gov)</w:t>
        </w:r>
      </w:hyperlink>
    </w:p>
    <w:p w14:paraId="7E578F31" w14:textId="52D60149" w:rsidR="004A6E5F" w:rsidRPr="00A30411" w:rsidRDefault="004A6E5F" w:rsidP="00AC369F">
      <w:pPr>
        <w:spacing w:line="276" w:lineRule="auto"/>
      </w:pPr>
      <w:bookmarkStart w:id="1" w:name="two"/>
      <w:bookmarkEnd w:id="0"/>
      <w:r w:rsidRPr="00A30411">
        <w:t>[2]</w:t>
      </w:r>
      <w:r w:rsidR="00223C50" w:rsidRPr="00A30411">
        <w:t xml:space="preserve"> </w:t>
      </w:r>
      <w:hyperlink r:id="rId14" w:anchor="/?sstr=109p" w:history="1">
        <w:r w:rsidR="00B513D0">
          <w:rPr>
            <w:rStyle w:val="Hyperlink"/>
          </w:rPr>
          <w:t>Small-Body Database Lookup (nasa.gov)</w:t>
        </w:r>
      </w:hyperlink>
    </w:p>
    <w:p w14:paraId="0386F18F" w14:textId="18C2BE64" w:rsidR="00A30411" w:rsidRPr="00B333EB" w:rsidRDefault="004A6E5F" w:rsidP="00AC369F">
      <w:pPr>
        <w:spacing w:line="276" w:lineRule="auto"/>
        <w:rPr>
          <w:rStyle w:val="Hyperlink"/>
          <w:color w:val="auto"/>
          <w:u w:val="none"/>
        </w:rPr>
      </w:pPr>
      <w:bookmarkStart w:id="2" w:name="three"/>
      <w:bookmarkEnd w:id="1"/>
      <w:r w:rsidRPr="00A30411">
        <w:t>[3]</w:t>
      </w:r>
      <w:r w:rsidR="00223C50" w:rsidRPr="00A30411">
        <w:t xml:space="preserve"> </w:t>
      </w:r>
      <w:hyperlink r:id="rId15" w:history="1">
        <w:r w:rsidR="00D72BD6">
          <w:rPr>
            <w:rStyle w:val="Hyperlink"/>
          </w:rPr>
          <w:t>ssbeads_answerkey.pdf (nasa.gov)</w:t>
        </w:r>
      </w:hyperlink>
      <w:bookmarkEnd w:id="2"/>
    </w:p>
    <w:p w14:paraId="68757C12" w14:textId="5C0AC02F" w:rsidR="00A30411" w:rsidRDefault="00A30411" w:rsidP="00AC369F">
      <w:pPr>
        <w:spacing w:line="276" w:lineRule="auto"/>
        <w:rPr>
          <w:rStyle w:val="Hyperlink"/>
        </w:rPr>
      </w:pPr>
      <w:r>
        <w:rPr>
          <w:rStyle w:val="Hyperlink"/>
          <w:color w:val="auto"/>
          <w:u w:val="none"/>
        </w:rPr>
        <w:t>[</w:t>
      </w:r>
      <w:r w:rsidR="00B333EB">
        <w:rPr>
          <w:rStyle w:val="Hyperlink"/>
          <w:color w:val="auto"/>
          <w:u w:val="none"/>
        </w:rPr>
        <w:t>4</w:t>
      </w:r>
      <w:r>
        <w:rPr>
          <w:rStyle w:val="Hyperlink"/>
          <w:color w:val="auto"/>
          <w:u w:val="none"/>
        </w:rPr>
        <w:t>] Source Code</w:t>
      </w:r>
      <w:r w:rsidR="00120DCF">
        <w:rPr>
          <w:rStyle w:val="Hyperlink"/>
          <w:color w:val="auto"/>
          <w:u w:val="none"/>
        </w:rPr>
        <w:t xml:space="preserve"> </w:t>
      </w:r>
      <w:r w:rsidR="00FA1C5C">
        <w:rPr>
          <w:rStyle w:val="Hyperlink"/>
          <w:color w:val="auto"/>
          <w:u w:val="none"/>
        </w:rPr>
        <w:t>+ Vector and Orbital Elements</w:t>
      </w:r>
      <w:r w:rsidR="00120DCF">
        <w:rPr>
          <w:rStyle w:val="Hyperlink"/>
          <w:color w:val="auto"/>
          <w:u w:val="none"/>
        </w:rPr>
        <w:t xml:space="preserve"> </w:t>
      </w:r>
      <w:r w:rsidR="00FA1C5C">
        <w:rPr>
          <w:rStyle w:val="Hyperlink"/>
          <w:color w:val="auto"/>
          <w:u w:val="none"/>
        </w:rPr>
        <w:t>d</w:t>
      </w:r>
      <w:r w:rsidR="00120DCF">
        <w:rPr>
          <w:rStyle w:val="Hyperlink"/>
          <w:color w:val="auto"/>
          <w:u w:val="none"/>
        </w:rPr>
        <w:t>ata for Q1</w:t>
      </w:r>
      <w:r>
        <w:rPr>
          <w:rStyle w:val="Hyperlink"/>
          <w:color w:val="auto"/>
          <w:u w:val="none"/>
        </w:rPr>
        <w:t xml:space="preserve"> - </w:t>
      </w:r>
      <w:hyperlink r:id="rId16" w:history="1">
        <w:r w:rsidR="00461EE1" w:rsidRPr="00461EE1">
          <w:rPr>
            <w:rStyle w:val="Hyperlink"/>
          </w:rPr>
          <w:t>https://colab.research.google.com/drive/173MCQpEXn7Sr_fR0bualLHwxBQiqv8Yb?usp=sharing</w:t>
        </w:r>
      </w:hyperlink>
    </w:p>
    <w:p w14:paraId="66B38716" w14:textId="543EEAB4" w:rsidR="00120DCF" w:rsidRPr="00FA1C5C" w:rsidRDefault="00FA1C5C" w:rsidP="00AC369F">
      <w:pPr>
        <w:spacing w:line="276" w:lineRule="auto"/>
        <w:rPr>
          <w:rStyle w:val="Hyperlink"/>
        </w:rPr>
      </w:pPr>
      <w:r>
        <w:fldChar w:fldCharType="begin"/>
      </w:r>
      <w:r>
        <w:instrText>HYPERLINK "https://drive.google.com/file/d/1B5F3zdSHRj5YaGfiCpyiAMYsBt6CvqH_/view?usp=drive_link"</w:instrText>
      </w:r>
      <w:r>
        <w:fldChar w:fldCharType="separate"/>
      </w:r>
      <w:r w:rsidR="00120DCF" w:rsidRPr="00FA1C5C">
        <w:rPr>
          <w:rStyle w:val="Hyperlink"/>
        </w:rPr>
        <w:t>https://drive.google.com/file/d/1B5F3zdSHRj5YaGfiCpyiAMYsBt6CvqH_/view?usp=drive_link</w:t>
      </w:r>
    </w:p>
    <w:p w14:paraId="3B5014BD" w14:textId="6500FAD3" w:rsidR="00120DCF" w:rsidRPr="00A30411" w:rsidRDefault="00FA1C5C" w:rsidP="00AC369F">
      <w:pPr>
        <w:spacing w:line="276" w:lineRule="auto"/>
      </w:pPr>
      <w:r>
        <w:fldChar w:fldCharType="end"/>
      </w:r>
      <w:hyperlink r:id="rId17" w:history="1">
        <w:r w:rsidR="00120DCF" w:rsidRPr="00011AC7">
          <w:rPr>
            <w:rStyle w:val="Hyperlink"/>
          </w:rPr>
          <w:t>https://drive.google.com/file/d/1_HMS8tF5x3cqtkc4bKPXuLxNaQWdZEGS/view?usp=drive_link</w:t>
        </w:r>
      </w:hyperlink>
    </w:p>
    <w:sectPr w:rsidR="00120DCF" w:rsidRPr="00A30411" w:rsidSect="00300AFD">
      <w:headerReference w:type="default" r:id="rId18"/>
      <w:footerReference w:type="default" r:id="rId19"/>
      <w:footerReference w:type="first" r:id="rId20"/>
      <w:pgSz w:w="12240" w:h="15840" w:code="1"/>
      <w:pgMar w:top="1440" w:right="1440" w:bottom="1440" w:left="1440" w:header="792"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F2AC4" w14:textId="77777777" w:rsidR="00300AFD" w:rsidRDefault="00300AFD" w:rsidP="00D878BA">
      <w:r>
        <w:separator/>
      </w:r>
    </w:p>
    <w:p w14:paraId="09A88490" w14:textId="77777777" w:rsidR="00300AFD" w:rsidRDefault="00300AFD" w:rsidP="00D878BA"/>
    <w:p w14:paraId="20F2363F" w14:textId="77777777" w:rsidR="00300AFD" w:rsidRDefault="00300AFD" w:rsidP="00D878BA"/>
  </w:endnote>
  <w:endnote w:type="continuationSeparator" w:id="0">
    <w:p w14:paraId="37850491" w14:textId="77777777" w:rsidR="00300AFD" w:rsidRDefault="00300AFD" w:rsidP="00D878BA">
      <w:r>
        <w:continuationSeparator/>
      </w:r>
    </w:p>
    <w:p w14:paraId="050D078B" w14:textId="77777777" w:rsidR="00300AFD" w:rsidRDefault="00300AFD" w:rsidP="00D878BA"/>
    <w:p w14:paraId="5FE7234E" w14:textId="77777777" w:rsidR="00300AFD" w:rsidRDefault="00300AFD" w:rsidP="00D878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7587990"/>
      <w:docPartObj>
        <w:docPartGallery w:val="Page Numbers (Bottom of Page)"/>
        <w:docPartUnique/>
      </w:docPartObj>
    </w:sdtPr>
    <w:sdtEndPr>
      <w:rPr>
        <w:noProof/>
      </w:rPr>
    </w:sdtEndPr>
    <w:sdtContent>
      <w:p w14:paraId="7ED724C3" w14:textId="74A38668" w:rsidR="00593E9A" w:rsidRDefault="00000000" w:rsidP="00D878BA">
        <w:pPr>
          <w:pStyle w:val="Footer"/>
        </w:pPr>
        <w:r>
          <w:pict w14:anchorId="452B26F6">
            <v:rect id="_x0000_i1031" style="width:0;height:1.5pt" o:hralign="center" o:hrstd="t" o:hr="t" fillcolor="#a0a0a0" stroked="f"/>
          </w:pict>
        </w:r>
      </w:p>
      <w:p w14:paraId="0488B943" w14:textId="45C846A0" w:rsidR="00967F7B" w:rsidRPr="007463D6" w:rsidRDefault="00350945" w:rsidP="00D878BA">
        <w:pPr>
          <w:pStyle w:val="Footer"/>
        </w:pPr>
        <w:r w:rsidRPr="007463D6">
          <w:t>PHYS 454</w:t>
        </w:r>
        <w:r w:rsidRPr="007463D6">
          <w:tab/>
        </w:r>
        <w:r w:rsidRPr="007463D6">
          <w:tab/>
        </w:r>
        <w:r w:rsidR="00593E9A" w:rsidRPr="007463D6">
          <w:fldChar w:fldCharType="begin"/>
        </w:r>
        <w:r w:rsidR="00593E9A" w:rsidRPr="007463D6">
          <w:instrText xml:space="preserve"> PAGE   \* MERGEFORMAT </w:instrText>
        </w:r>
        <w:r w:rsidR="00593E9A" w:rsidRPr="007463D6">
          <w:fldChar w:fldCharType="separate"/>
        </w:r>
        <w:r w:rsidR="00593E9A" w:rsidRPr="007463D6">
          <w:rPr>
            <w:noProof/>
          </w:rPr>
          <w:t>2</w:t>
        </w:r>
        <w:r w:rsidR="00593E9A" w:rsidRPr="007463D6">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9985A" w14:textId="0A3B9574" w:rsidR="00593E9A" w:rsidRPr="007463D6" w:rsidRDefault="00000000" w:rsidP="00D878BA">
    <w:pPr>
      <w:pStyle w:val="Footer"/>
    </w:pPr>
    <w:r>
      <w:pict w14:anchorId="79542646">
        <v:rect id="_x0000_i1032" style="width:0;height:1.5pt" o:hralign="center" o:hrstd="t" o:hr="t" fillcolor="#a0a0a0" stroked="f"/>
      </w:pict>
    </w:r>
  </w:p>
  <w:p w14:paraId="3FD3DB47" w14:textId="543B3CAD" w:rsidR="00967F7B" w:rsidRPr="007463D6" w:rsidRDefault="00350945" w:rsidP="00D878BA">
    <w:pPr>
      <w:pStyle w:val="Footer"/>
    </w:pPr>
    <w:r w:rsidRPr="007463D6">
      <w:t>PHYS 454</w:t>
    </w:r>
    <w:r w:rsidRPr="007463D6">
      <w:tab/>
    </w:r>
    <w:r w:rsidRPr="007463D6">
      <w:tab/>
    </w:r>
    <w:sdt>
      <w:sdtPr>
        <w:id w:val="203767966"/>
        <w:docPartObj>
          <w:docPartGallery w:val="Page Numbers (Bottom of Page)"/>
          <w:docPartUnique/>
        </w:docPartObj>
      </w:sdtPr>
      <w:sdtEndPr>
        <w:rPr>
          <w:noProof/>
        </w:rPr>
      </w:sdtEndPr>
      <w:sdtContent>
        <w:r w:rsidR="00593E9A" w:rsidRPr="007463D6">
          <w:fldChar w:fldCharType="begin"/>
        </w:r>
        <w:r w:rsidR="00593E9A" w:rsidRPr="007463D6">
          <w:instrText xml:space="preserve"> PAGE   \* MERGEFORMAT </w:instrText>
        </w:r>
        <w:r w:rsidR="00593E9A" w:rsidRPr="007463D6">
          <w:fldChar w:fldCharType="separate"/>
        </w:r>
        <w:r w:rsidR="00593E9A" w:rsidRPr="007463D6">
          <w:rPr>
            <w:noProof/>
          </w:rPr>
          <w:t>2</w:t>
        </w:r>
        <w:r w:rsidR="00593E9A" w:rsidRPr="007463D6">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086C7" w14:textId="77777777" w:rsidR="00300AFD" w:rsidRDefault="00300AFD" w:rsidP="00D878BA">
      <w:r>
        <w:separator/>
      </w:r>
    </w:p>
    <w:p w14:paraId="030F545E" w14:textId="77777777" w:rsidR="00300AFD" w:rsidRDefault="00300AFD" w:rsidP="00D878BA"/>
    <w:p w14:paraId="7E2445FA" w14:textId="77777777" w:rsidR="00300AFD" w:rsidRDefault="00300AFD" w:rsidP="00D878BA"/>
  </w:footnote>
  <w:footnote w:type="continuationSeparator" w:id="0">
    <w:p w14:paraId="47F685BB" w14:textId="77777777" w:rsidR="00300AFD" w:rsidRDefault="00300AFD" w:rsidP="00D878BA">
      <w:r>
        <w:continuationSeparator/>
      </w:r>
    </w:p>
    <w:p w14:paraId="57752336" w14:textId="77777777" w:rsidR="00300AFD" w:rsidRDefault="00300AFD" w:rsidP="00D878BA"/>
    <w:p w14:paraId="43D4A502" w14:textId="77777777" w:rsidR="00300AFD" w:rsidRDefault="00300AFD" w:rsidP="00D878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C0BA2" w14:textId="3B454040" w:rsidR="00350945" w:rsidRPr="007463D6" w:rsidRDefault="00350945" w:rsidP="00D878BA">
    <w:pPr>
      <w:pStyle w:val="Header"/>
    </w:pPr>
    <w:r w:rsidRPr="007463D6">
      <w:t>HW#</w:t>
    </w:r>
    <w:r w:rsidR="00193430">
      <w:t>2</w:t>
    </w:r>
    <w:r w:rsidRPr="007463D6">
      <w:tab/>
    </w:r>
    <w:r w:rsidRPr="007463D6">
      <w:tab/>
      <w:t>Professor James Hedberg</w:t>
    </w:r>
  </w:p>
  <w:p w14:paraId="7D12E2F7" w14:textId="50E7D077" w:rsidR="00967F7B" w:rsidRPr="007463D6" w:rsidRDefault="00000000" w:rsidP="00D878BA">
    <w:pPr>
      <w:pStyle w:val="Header"/>
    </w:pPr>
    <w:r>
      <w:pict w14:anchorId="39888ACF">
        <v:rect id="_x0000_i1030"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91" style="width:0;height:1.5pt" o:hralign="center" o:bullet="t" o:hrstd="t" o:hr="t" fillcolor="#a0a0a0" stroked="f"/>
    </w:pict>
  </w:numPicBullet>
  <w:abstractNum w:abstractNumId="0" w15:restartNumberingAfterBreak="0">
    <w:nsid w:val="331852AB"/>
    <w:multiLevelType w:val="hybridMultilevel"/>
    <w:tmpl w:val="5B4E46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A85B8C"/>
    <w:multiLevelType w:val="hybridMultilevel"/>
    <w:tmpl w:val="3E48A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233585">
    <w:abstractNumId w:val="1"/>
  </w:num>
  <w:num w:numId="2" w16cid:durableId="1090077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9A"/>
    <w:rsid w:val="00016C9D"/>
    <w:rsid w:val="000C2F42"/>
    <w:rsid w:val="000C3D0D"/>
    <w:rsid w:val="001170B8"/>
    <w:rsid w:val="00120DCF"/>
    <w:rsid w:val="00180A78"/>
    <w:rsid w:val="00183AC2"/>
    <w:rsid w:val="00193430"/>
    <w:rsid w:val="001D0024"/>
    <w:rsid w:val="001D3B9F"/>
    <w:rsid w:val="0020485D"/>
    <w:rsid w:val="00217D63"/>
    <w:rsid w:val="00223C50"/>
    <w:rsid w:val="00247886"/>
    <w:rsid w:val="00260F5C"/>
    <w:rsid w:val="002640B4"/>
    <w:rsid w:val="00274C12"/>
    <w:rsid w:val="002E06F4"/>
    <w:rsid w:val="002F0137"/>
    <w:rsid w:val="00300AFD"/>
    <w:rsid w:val="00350945"/>
    <w:rsid w:val="00394E4A"/>
    <w:rsid w:val="00461EE1"/>
    <w:rsid w:val="004948D9"/>
    <w:rsid w:val="004A6E5F"/>
    <w:rsid w:val="004B7A79"/>
    <w:rsid w:val="004F610F"/>
    <w:rsid w:val="00573BC4"/>
    <w:rsid w:val="00593E9A"/>
    <w:rsid w:val="005C17D3"/>
    <w:rsid w:val="005C20DD"/>
    <w:rsid w:val="00607D57"/>
    <w:rsid w:val="007338EB"/>
    <w:rsid w:val="007463D6"/>
    <w:rsid w:val="0079799A"/>
    <w:rsid w:val="007F2B9F"/>
    <w:rsid w:val="008414D3"/>
    <w:rsid w:val="00861B47"/>
    <w:rsid w:val="00865F5B"/>
    <w:rsid w:val="00884EA9"/>
    <w:rsid w:val="009252EF"/>
    <w:rsid w:val="009266B9"/>
    <w:rsid w:val="009576F5"/>
    <w:rsid w:val="0096679F"/>
    <w:rsid w:val="00967F7B"/>
    <w:rsid w:val="009E2C42"/>
    <w:rsid w:val="00A30411"/>
    <w:rsid w:val="00A92044"/>
    <w:rsid w:val="00AC020C"/>
    <w:rsid w:val="00AC369F"/>
    <w:rsid w:val="00B333EB"/>
    <w:rsid w:val="00B42004"/>
    <w:rsid w:val="00B513D0"/>
    <w:rsid w:val="00C12733"/>
    <w:rsid w:val="00C267A3"/>
    <w:rsid w:val="00C3592E"/>
    <w:rsid w:val="00C56342"/>
    <w:rsid w:val="00C867BE"/>
    <w:rsid w:val="00CA2E21"/>
    <w:rsid w:val="00CB50D5"/>
    <w:rsid w:val="00CC1E07"/>
    <w:rsid w:val="00D00651"/>
    <w:rsid w:val="00D372A8"/>
    <w:rsid w:val="00D72BD6"/>
    <w:rsid w:val="00D878BA"/>
    <w:rsid w:val="00E16CBF"/>
    <w:rsid w:val="00E16FF9"/>
    <w:rsid w:val="00E23C22"/>
    <w:rsid w:val="00E610F0"/>
    <w:rsid w:val="00EC4971"/>
    <w:rsid w:val="00ED259E"/>
    <w:rsid w:val="00F153F8"/>
    <w:rsid w:val="00F3320F"/>
    <w:rsid w:val="00F36321"/>
    <w:rsid w:val="00F46A36"/>
    <w:rsid w:val="00F75D3D"/>
    <w:rsid w:val="00F937CC"/>
    <w:rsid w:val="00FA1C5C"/>
    <w:rsid w:val="00FD64E2"/>
    <w:rsid w:val="00FF6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2098E"/>
  <w15:chartTrackingRefBased/>
  <w15:docId w15:val="{D1130436-36C9-4AE9-8475-73071420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D63"/>
    <w:rPr>
      <w:rFonts w:ascii="LM Roman 12" w:hAnsi="LM Roman 12"/>
      <w:sz w:val="20"/>
      <w:szCs w:val="20"/>
    </w:rPr>
  </w:style>
  <w:style w:type="paragraph" w:styleId="Heading1">
    <w:name w:val="heading 1"/>
    <w:basedOn w:val="Normal"/>
    <w:next w:val="Normal"/>
    <w:link w:val="Heading1Char"/>
    <w:uiPriority w:val="9"/>
    <w:qFormat/>
    <w:rsid w:val="00350945"/>
    <w:pPr>
      <w:spacing w:line="276" w:lineRule="auto"/>
      <w:outlineLvl w:val="0"/>
    </w:pPr>
    <w:rPr>
      <w:b/>
      <w:bCs/>
      <w:i/>
      <w:iCs/>
      <w:sz w:val="24"/>
      <w:szCs w:val="24"/>
    </w:rPr>
  </w:style>
  <w:style w:type="paragraph" w:styleId="Heading2">
    <w:name w:val="heading 2"/>
    <w:basedOn w:val="Normal"/>
    <w:next w:val="Normal"/>
    <w:link w:val="Heading2Char"/>
    <w:uiPriority w:val="9"/>
    <w:unhideWhenUsed/>
    <w:qFormat/>
    <w:rsid w:val="00350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09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E9A"/>
    <w:pPr>
      <w:ind w:left="720"/>
      <w:contextualSpacing/>
    </w:pPr>
  </w:style>
  <w:style w:type="paragraph" w:styleId="Header">
    <w:name w:val="header"/>
    <w:basedOn w:val="Normal"/>
    <w:link w:val="HeaderChar"/>
    <w:uiPriority w:val="99"/>
    <w:unhideWhenUsed/>
    <w:rsid w:val="00593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E9A"/>
  </w:style>
  <w:style w:type="paragraph" w:styleId="Footer">
    <w:name w:val="footer"/>
    <w:basedOn w:val="Normal"/>
    <w:link w:val="FooterChar"/>
    <w:uiPriority w:val="99"/>
    <w:unhideWhenUsed/>
    <w:rsid w:val="00593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E9A"/>
  </w:style>
  <w:style w:type="paragraph" w:styleId="Caption">
    <w:name w:val="caption"/>
    <w:basedOn w:val="Normal"/>
    <w:next w:val="Normal"/>
    <w:uiPriority w:val="35"/>
    <w:unhideWhenUsed/>
    <w:qFormat/>
    <w:rsid w:val="00CA2E21"/>
    <w:pPr>
      <w:spacing w:after="200" w:line="240" w:lineRule="auto"/>
    </w:pPr>
    <w:rPr>
      <w:i/>
      <w:iCs/>
      <w:color w:val="44546A" w:themeColor="text2"/>
      <w:sz w:val="18"/>
      <w:szCs w:val="18"/>
    </w:rPr>
  </w:style>
  <w:style w:type="table" w:styleId="TableGrid">
    <w:name w:val="Table Grid"/>
    <w:basedOn w:val="TableNormal"/>
    <w:uiPriority w:val="39"/>
    <w:rsid w:val="00CA2E2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A2E21"/>
    <w:rPr>
      <w:color w:val="666666"/>
    </w:rPr>
  </w:style>
  <w:style w:type="character" w:customStyle="1" w:styleId="Heading1Char">
    <w:name w:val="Heading 1 Char"/>
    <w:basedOn w:val="DefaultParagraphFont"/>
    <w:link w:val="Heading1"/>
    <w:uiPriority w:val="9"/>
    <w:rsid w:val="00350945"/>
    <w:rPr>
      <w:rFonts w:ascii="LM Roman 12" w:hAnsi="LM Roman 12"/>
      <w:b/>
      <w:bCs/>
      <w:i/>
      <w:iCs/>
      <w:sz w:val="24"/>
      <w:szCs w:val="24"/>
    </w:rPr>
  </w:style>
  <w:style w:type="character" w:customStyle="1" w:styleId="Heading3Char">
    <w:name w:val="Heading 3 Char"/>
    <w:basedOn w:val="DefaultParagraphFont"/>
    <w:link w:val="Heading3"/>
    <w:uiPriority w:val="9"/>
    <w:rsid w:val="00350945"/>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5094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4A6E5F"/>
  </w:style>
  <w:style w:type="character" w:styleId="Hyperlink">
    <w:name w:val="Hyperlink"/>
    <w:basedOn w:val="DefaultParagraphFont"/>
    <w:uiPriority w:val="99"/>
    <w:unhideWhenUsed/>
    <w:rsid w:val="004A6E5F"/>
    <w:rPr>
      <w:color w:val="0563C1" w:themeColor="hyperlink"/>
      <w:u w:val="single"/>
    </w:rPr>
  </w:style>
  <w:style w:type="character" w:styleId="UnresolvedMention">
    <w:name w:val="Unresolved Mention"/>
    <w:basedOn w:val="DefaultParagraphFont"/>
    <w:uiPriority w:val="99"/>
    <w:semiHidden/>
    <w:unhideWhenUsed/>
    <w:rsid w:val="004A6E5F"/>
    <w:rPr>
      <w:color w:val="605E5C"/>
      <w:shd w:val="clear" w:color="auto" w:fill="E1DFDD"/>
    </w:rPr>
  </w:style>
  <w:style w:type="character" w:styleId="FollowedHyperlink">
    <w:name w:val="FollowedHyperlink"/>
    <w:basedOn w:val="DefaultParagraphFont"/>
    <w:uiPriority w:val="99"/>
    <w:semiHidden/>
    <w:unhideWhenUsed/>
    <w:rsid w:val="004A6E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87208">
      <w:bodyDiv w:val="1"/>
      <w:marLeft w:val="0"/>
      <w:marRight w:val="0"/>
      <w:marTop w:val="0"/>
      <w:marBottom w:val="0"/>
      <w:divBdr>
        <w:top w:val="none" w:sz="0" w:space="0" w:color="auto"/>
        <w:left w:val="none" w:sz="0" w:space="0" w:color="auto"/>
        <w:bottom w:val="none" w:sz="0" w:space="0" w:color="auto"/>
        <w:right w:val="none" w:sz="0" w:space="0" w:color="auto"/>
      </w:divBdr>
    </w:div>
    <w:div w:id="387844942">
      <w:bodyDiv w:val="1"/>
      <w:marLeft w:val="0"/>
      <w:marRight w:val="0"/>
      <w:marTop w:val="0"/>
      <w:marBottom w:val="0"/>
      <w:divBdr>
        <w:top w:val="none" w:sz="0" w:space="0" w:color="auto"/>
        <w:left w:val="none" w:sz="0" w:space="0" w:color="auto"/>
        <w:bottom w:val="none" w:sz="0" w:space="0" w:color="auto"/>
        <w:right w:val="none" w:sz="0" w:space="0" w:color="auto"/>
      </w:divBdr>
    </w:div>
    <w:div w:id="906571906">
      <w:bodyDiv w:val="1"/>
      <w:marLeft w:val="0"/>
      <w:marRight w:val="0"/>
      <w:marTop w:val="0"/>
      <w:marBottom w:val="0"/>
      <w:divBdr>
        <w:top w:val="none" w:sz="0" w:space="0" w:color="auto"/>
        <w:left w:val="none" w:sz="0" w:space="0" w:color="auto"/>
        <w:bottom w:val="none" w:sz="0" w:space="0" w:color="auto"/>
        <w:right w:val="none" w:sz="0" w:space="0" w:color="auto"/>
      </w:divBdr>
    </w:div>
    <w:div w:id="1364205779">
      <w:bodyDiv w:val="1"/>
      <w:marLeft w:val="0"/>
      <w:marRight w:val="0"/>
      <w:marTop w:val="0"/>
      <w:marBottom w:val="0"/>
      <w:divBdr>
        <w:top w:val="none" w:sz="0" w:space="0" w:color="auto"/>
        <w:left w:val="none" w:sz="0" w:space="0" w:color="auto"/>
        <w:bottom w:val="none" w:sz="0" w:space="0" w:color="auto"/>
        <w:right w:val="none" w:sz="0" w:space="0" w:color="auto"/>
      </w:divBdr>
    </w:div>
    <w:div w:id="1674601221">
      <w:bodyDiv w:val="1"/>
      <w:marLeft w:val="0"/>
      <w:marRight w:val="0"/>
      <w:marTop w:val="0"/>
      <w:marBottom w:val="0"/>
      <w:divBdr>
        <w:top w:val="none" w:sz="0" w:space="0" w:color="auto"/>
        <w:left w:val="none" w:sz="0" w:space="0" w:color="auto"/>
        <w:bottom w:val="none" w:sz="0" w:space="0" w:color="auto"/>
        <w:right w:val="none" w:sz="0" w:space="0" w:color="auto"/>
      </w:divBdr>
    </w:div>
    <w:div w:id="1905531444">
      <w:bodyDiv w:val="1"/>
      <w:marLeft w:val="0"/>
      <w:marRight w:val="0"/>
      <w:marTop w:val="0"/>
      <w:marBottom w:val="0"/>
      <w:divBdr>
        <w:top w:val="none" w:sz="0" w:space="0" w:color="auto"/>
        <w:left w:val="none" w:sz="0" w:space="0" w:color="auto"/>
        <w:bottom w:val="none" w:sz="0" w:space="0" w:color="auto"/>
        <w:right w:val="none" w:sz="0" w:space="0" w:color="auto"/>
      </w:divBdr>
    </w:div>
    <w:div w:id="1934976333">
      <w:bodyDiv w:val="1"/>
      <w:marLeft w:val="0"/>
      <w:marRight w:val="0"/>
      <w:marTop w:val="0"/>
      <w:marBottom w:val="0"/>
      <w:divBdr>
        <w:top w:val="none" w:sz="0" w:space="0" w:color="auto"/>
        <w:left w:val="none" w:sz="0" w:space="0" w:color="auto"/>
        <w:bottom w:val="none" w:sz="0" w:space="0" w:color="auto"/>
        <w:right w:val="none" w:sz="0" w:space="0" w:color="auto"/>
      </w:divBdr>
    </w:div>
    <w:div w:id="214593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sd.jpl.nasa.gov/horizons/app.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rive.google.com/file/d/1_HMS8tF5x3cqtkc4bKPXuLxNaQWdZEGS/view?usp=drive_link" TargetMode="External"/><Relationship Id="rId2" Type="http://schemas.openxmlformats.org/officeDocument/2006/relationships/numbering" Target="numbering.xml"/><Relationship Id="rId16" Type="http://schemas.openxmlformats.org/officeDocument/2006/relationships/hyperlink" Target="https://colab.research.google.com/drive/173MCQpEXn7Sr_fR0bualLHwxBQiqv8Yb?usp=shari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jpl.nasa.gov/edu/pdfs/ssbeads_answerkey.pdf"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sd.jpl.nasa.gov/tools/sbdb_lookup.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{2D9F2423-8967-4955-8488-928724B8CE8A}</b:Guid>
    <b:URL>https://colab.research.google.com/corgiredirector?site=https%3A%2F%2Fwww.latlong.net%2Fplace%2Fhuntsville-al-usa-2303.html</b:URL>
    <b:RefOrder>2</b:RefOrder>
  </b:Source>
</b:Sources>
</file>

<file path=customXml/itemProps1.xml><?xml version="1.0" encoding="utf-8"?>
<ds:datastoreItem xmlns:ds="http://schemas.openxmlformats.org/officeDocument/2006/customXml" ds:itemID="{716648CE-4529-4599-9E4F-AF377D170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6</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Maniago</dc:creator>
  <cp:keywords/>
  <dc:description/>
  <cp:lastModifiedBy>Jeremy Maniago</cp:lastModifiedBy>
  <cp:revision>47</cp:revision>
  <cp:lastPrinted>2024-03-06T20:03:00Z</cp:lastPrinted>
  <dcterms:created xsi:type="dcterms:W3CDTF">2024-02-14T04:24:00Z</dcterms:created>
  <dcterms:modified xsi:type="dcterms:W3CDTF">2024-03-06T20:05:00Z</dcterms:modified>
</cp:coreProperties>
</file>