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33"/>
        <w:gridCol w:w="4072"/>
        <w:gridCol w:w="2523"/>
      </w:tblGrid>
      <w:tr w:rsidR="005A00BE" w:rsidRPr="00173F90" w:rsidTr="005A0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5A00BE" w:rsidRPr="00173F90" w:rsidRDefault="005A00BE" w:rsidP="00A54358">
            <w:pPr>
              <w:jc w:val="center"/>
              <w:rPr>
                <w:sz w:val="36"/>
                <w:szCs w:val="36"/>
              </w:rPr>
            </w:pPr>
            <w:r w:rsidRPr="00173F90">
              <w:rPr>
                <w:sz w:val="36"/>
                <w:szCs w:val="36"/>
              </w:rPr>
              <w:t>Columna</w:t>
            </w:r>
          </w:p>
        </w:tc>
        <w:tc>
          <w:tcPr>
            <w:tcW w:w="4072" w:type="dxa"/>
          </w:tcPr>
          <w:p w:rsidR="005A00BE" w:rsidRPr="00173F90" w:rsidRDefault="005A00BE" w:rsidP="00A54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73F90">
              <w:rPr>
                <w:sz w:val="36"/>
                <w:szCs w:val="36"/>
              </w:rPr>
              <w:t>Tipo</w:t>
            </w:r>
          </w:p>
        </w:tc>
        <w:tc>
          <w:tcPr>
            <w:tcW w:w="2523" w:type="dxa"/>
          </w:tcPr>
          <w:p w:rsidR="005A00BE" w:rsidRPr="00173F90" w:rsidRDefault="005A00BE" w:rsidP="00A54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Descripcion</w:t>
            </w:r>
          </w:p>
        </w:tc>
      </w:tr>
      <w:tr w:rsidR="005A00BE" w:rsidRPr="00A7152C" w:rsidTr="005A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5A00BE" w:rsidRPr="005A00BE" w:rsidRDefault="005A00BE" w:rsidP="005A00BE">
            <w:pPr>
              <w:rPr>
                <w:rFonts w:eastAsia="Times New Roman" w:cstheme="minorHAnsi"/>
                <w:color w:val="202124"/>
                <w:sz w:val="36"/>
                <w:szCs w:val="36"/>
              </w:rPr>
            </w:pPr>
            <w:r w:rsidRPr="005A00BE">
              <w:rPr>
                <w:rFonts w:eastAsia="Times New Roman" w:cstheme="minorHAnsi"/>
                <w:color w:val="202124"/>
                <w:sz w:val="36"/>
                <w:szCs w:val="36"/>
              </w:rPr>
              <w:t>Serial Number</w:t>
            </w:r>
          </w:p>
        </w:tc>
        <w:tc>
          <w:tcPr>
            <w:tcW w:w="4072" w:type="dxa"/>
          </w:tcPr>
          <w:p w:rsidR="005A00BE" w:rsidRPr="00173F90" w:rsidRDefault="005A00BE" w:rsidP="005A00BE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float</w:t>
            </w:r>
          </w:p>
        </w:tc>
        <w:tc>
          <w:tcPr>
            <w:tcW w:w="2523" w:type="dxa"/>
          </w:tcPr>
          <w:p w:rsidR="005A00BE" w:rsidRPr="005A00BE" w:rsidRDefault="005A00BE" w:rsidP="005A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</w:rPr>
              <w:t>A unique identifier for each record in the dataset.</w:t>
            </w:r>
          </w:p>
          <w:p w:rsidR="005A00BE" w:rsidRPr="005A00BE" w:rsidRDefault="005A00BE" w:rsidP="005A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</w:p>
          <w:p w:rsidR="005A00BE" w:rsidRPr="005A00BE" w:rsidRDefault="005A00BE" w:rsidP="005A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>Un identificador único para cada registro del conjunto de datos.</w:t>
            </w:r>
          </w:p>
        </w:tc>
      </w:tr>
      <w:tr w:rsidR="005A00BE" w:rsidRPr="00A7152C" w:rsidTr="005A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5A00BE" w:rsidRPr="005A00BE" w:rsidRDefault="005A00BE" w:rsidP="005A00BE">
            <w:pPr>
              <w:rPr>
                <w:rFonts w:eastAsia="Times New Roman" w:cstheme="minorHAnsi"/>
                <w:color w:val="202124"/>
                <w:sz w:val="36"/>
                <w:szCs w:val="36"/>
              </w:rPr>
            </w:pPr>
            <w:r w:rsidRPr="005A00BE">
              <w:rPr>
                <w:rFonts w:eastAsia="Times New Roman" w:cstheme="minorHAnsi"/>
                <w:color w:val="202124"/>
                <w:sz w:val="36"/>
                <w:szCs w:val="36"/>
              </w:rPr>
              <w:t>List Year</w:t>
            </w:r>
          </w:p>
        </w:tc>
        <w:tc>
          <w:tcPr>
            <w:tcW w:w="4072" w:type="dxa"/>
          </w:tcPr>
          <w:p w:rsidR="005A00BE" w:rsidRPr="00173F90" w:rsidRDefault="005A00BE" w:rsidP="005A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float</w:t>
            </w:r>
          </w:p>
        </w:tc>
        <w:tc>
          <w:tcPr>
            <w:tcW w:w="2523" w:type="dxa"/>
          </w:tcPr>
          <w:p w:rsidR="005A00BE" w:rsidRPr="005A00BE" w:rsidRDefault="005A00BE" w:rsidP="005A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</w:rPr>
              <w:t>The grand list year in which the sale was recorded.</w:t>
            </w:r>
          </w:p>
          <w:p w:rsidR="005A00BE" w:rsidRPr="005A00BE" w:rsidRDefault="005A00BE" w:rsidP="005A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</w:p>
          <w:p w:rsidR="005A00BE" w:rsidRPr="005A00BE" w:rsidRDefault="005A00BE" w:rsidP="005A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 xml:space="preserve">El año de la gran lista en el que se registró la </w:t>
            </w:r>
            <w:proofErr w:type="gramStart"/>
            <w:r w:rsidRPr="005A00BE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>venta.</w:t>
            </w:r>
            <w:r w:rsidR="00A7152C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>(</w:t>
            </w:r>
            <w:proofErr w:type="gramEnd"/>
            <w:r w:rsidR="00A7152C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>año en el cual se puso a la venta)</w:t>
            </w:r>
          </w:p>
        </w:tc>
      </w:tr>
      <w:tr w:rsidR="005A00BE" w:rsidRPr="00A7152C" w:rsidTr="005A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5A00BE" w:rsidRPr="005A00BE" w:rsidRDefault="005A00BE" w:rsidP="005A00BE">
            <w:pPr>
              <w:rPr>
                <w:rFonts w:eastAsia="Times New Roman" w:cstheme="minorHAnsi"/>
                <w:color w:val="202124"/>
                <w:sz w:val="36"/>
                <w:szCs w:val="36"/>
              </w:rPr>
            </w:pPr>
            <w:r w:rsidRPr="005A00BE">
              <w:rPr>
                <w:rFonts w:eastAsia="Times New Roman" w:cstheme="minorHAnsi"/>
                <w:color w:val="202124"/>
                <w:sz w:val="36"/>
                <w:szCs w:val="36"/>
              </w:rPr>
              <w:t>Date Recorded</w:t>
            </w:r>
          </w:p>
        </w:tc>
        <w:tc>
          <w:tcPr>
            <w:tcW w:w="4072" w:type="dxa"/>
          </w:tcPr>
          <w:p w:rsidR="005A00BE" w:rsidRPr="00173F90" w:rsidRDefault="005A00BE" w:rsidP="005A00BE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object</w:t>
            </w:r>
          </w:p>
        </w:tc>
        <w:tc>
          <w:tcPr>
            <w:tcW w:w="2523" w:type="dxa"/>
          </w:tcPr>
          <w:p w:rsidR="005A00BE" w:rsidRPr="005A00BE" w:rsidRDefault="005A00BE" w:rsidP="005A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</w:rPr>
              <w:t>The date when the sale was recorded.</w:t>
            </w:r>
          </w:p>
          <w:p w:rsidR="005A00BE" w:rsidRPr="005A00BE" w:rsidRDefault="005A00BE" w:rsidP="005A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</w:p>
          <w:p w:rsidR="005A00BE" w:rsidRPr="005A00BE" w:rsidRDefault="005A00BE" w:rsidP="005A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 xml:space="preserve">fecha en que se registró </w:t>
            </w:r>
            <w:r w:rsidR="00A7152C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>el traspaso de la propiedad</w:t>
            </w:r>
          </w:p>
        </w:tc>
      </w:tr>
      <w:tr w:rsidR="005A00BE" w:rsidRPr="00A7152C" w:rsidTr="005A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5A00BE" w:rsidRPr="005A00BE" w:rsidRDefault="005A00BE" w:rsidP="005A00BE">
            <w:pPr>
              <w:rPr>
                <w:rFonts w:eastAsia="Times New Roman" w:cstheme="minorHAnsi"/>
                <w:color w:val="202124"/>
                <w:sz w:val="36"/>
                <w:szCs w:val="36"/>
              </w:rPr>
            </w:pPr>
            <w:r w:rsidRPr="005A00BE">
              <w:rPr>
                <w:rFonts w:eastAsia="Times New Roman" w:cstheme="minorHAnsi"/>
                <w:color w:val="202124"/>
                <w:sz w:val="36"/>
                <w:szCs w:val="36"/>
              </w:rPr>
              <w:t>Town</w:t>
            </w:r>
          </w:p>
        </w:tc>
        <w:tc>
          <w:tcPr>
            <w:tcW w:w="4072" w:type="dxa"/>
          </w:tcPr>
          <w:p w:rsidR="005A00BE" w:rsidRPr="00173F90" w:rsidRDefault="005A00BE" w:rsidP="005A00BE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173F9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object</w:t>
            </w:r>
          </w:p>
        </w:tc>
        <w:tc>
          <w:tcPr>
            <w:tcW w:w="2523" w:type="dxa"/>
          </w:tcPr>
          <w:p w:rsidR="005A00BE" w:rsidRPr="005A00BE" w:rsidRDefault="005A00BE" w:rsidP="005A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</w:rPr>
              <w:t>The town where the property is located.</w:t>
            </w:r>
          </w:p>
          <w:p w:rsidR="005A00BE" w:rsidRPr="005A00BE" w:rsidRDefault="005A00BE" w:rsidP="005A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</w:p>
          <w:p w:rsidR="005A00BE" w:rsidRPr="005A00BE" w:rsidRDefault="005A00BE" w:rsidP="005A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>La ciudad donde se encuentra la propiedad.</w:t>
            </w:r>
          </w:p>
        </w:tc>
      </w:tr>
      <w:tr w:rsidR="005A00BE" w:rsidRPr="00A7152C" w:rsidTr="005A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5A00BE" w:rsidRPr="005A00BE" w:rsidRDefault="005A00BE" w:rsidP="005A00BE">
            <w:pPr>
              <w:rPr>
                <w:rFonts w:eastAsia="Times New Roman" w:cstheme="minorHAnsi"/>
                <w:color w:val="202124"/>
                <w:sz w:val="36"/>
                <w:szCs w:val="36"/>
              </w:rPr>
            </w:pPr>
            <w:r w:rsidRPr="005A00BE">
              <w:rPr>
                <w:rFonts w:eastAsia="Times New Roman" w:cstheme="minorHAnsi"/>
                <w:color w:val="202124"/>
                <w:sz w:val="36"/>
                <w:szCs w:val="36"/>
              </w:rPr>
              <w:t>Address</w:t>
            </w:r>
          </w:p>
        </w:tc>
        <w:tc>
          <w:tcPr>
            <w:tcW w:w="4072" w:type="dxa"/>
          </w:tcPr>
          <w:p w:rsidR="005A00BE" w:rsidRPr="00173F90" w:rsidRDefault="005A00BE" w:rsidP="005A00BE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173F90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object</w:t>
            </w:r>
          </w:p>
        </w:tc>
        <w:tc>
          <w:tcPr>
            <w:tcW w:w="2523" w:type="dxa"/>
          </w:tcPr>
          <w:p w:rsidR="005A00BE" w:rsidRPr="005A00BE" w:rsidRDefault="005A00BE" w:rsidP="005A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</w:rPr>
              <w:t>The address of the property.</w:t>
            </w:r>
          </w:p>
          <w:p w:rsidR="005A00BE" w:rsidRPr="005A00BE" w:rsidRDefault="005A00BE" w:rsidP="005A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</w:p>
          <w:p w:rsidR="005A00BE" w:rsidRPr="005A00BE" w:rsidRDefault="005A00BE" w:rsidP="005A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>La dirección de la propiedad.</w:t>
            </w:r>
          </w:p>
        </w:tc>
      </w:tr>
      <w:tr w:rsidR="005A00BE" w:rsidRPr="00A7152C" w:rsidTr="005A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5A00BE" w:rsidRPr="005A00BE" w:rsidRDefault="005A00BE" w:rsidP="005A00BE">
            <w:pPr>
              <w:rPr>
                <w:rFonts w:eastAsia="Times New Roman" w:cstheme="minorHAnsi"/>
                <w:color w:val="202124"/>
                <w:sz w:val="36"/>
                <w:szCs w:val="36"/>
              </w:rPr>
            </w:pPr>
            <w:r w:rsidRPr="005A00BE">
              <w:rPr>
                <w:rFonts w:eastAsia="Times New Roman" w:cstheme="minorHAnsi"/>
                <w:color w:val="202124"/>
                <w:sz w:val="36"/>
                <w:szCs w:val="36"/>
              </w:rPr>
              <w:t>Assessed Value</w:t>
            </w:r>
          </w:p>
        </w:tc>
        <w:tc>
          <w:tcPr>
            <w:tcW w:w="4072" w:type="dxa"/>
          </w:tcPr>
          <w:p w:rsidR="005A00BE" w:rsidRPr="00173F90" w:rsidRDefault="005A00BE" w:rsidP="005A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float</w:t>
            </w:r>
          </w:p>
        </w:tc>
        <w:tc>
          <w:tcPr>
            <w:tcW w:w="2523" w:type="dxa"/>
          </w:tcPr>
          <w:p w:rsidR="005A00BE" w:rsidRPr="005A00BE" w:rsidRDefault="005A00BE" w:rsidP="005A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</w:rPr>
              <w:t>The assessed value of the property.</w:t>
            </w:r>
          </w:p>
          <w:p w:rsidR="005A00BE" w:rsidRPr="005A00BE" w:rsidRDefault="005A00BE" w:rsidP="005A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</w:p>
          <w:p w:rsidR="005A00BE" w:rsidRPr="005A00BE" w:rsidRDefault="005A00BE" w:rsidP="005A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 xml:space="preserve">El valor </w:t>
            </w:r>
            <w:r w:rsidR="00A7152C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>de la propiedad según el banco</w:t>
            </w:r>
          </w:p>
        </w:tc>
      </w:tr>
      <w:tr w:rsidR="005A00BE" w:rsidRPr="00A7152C" w:rsidTr="005A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5A00BE" w:rsidRPr="005A00BE" w:rsidRDefault="005A00BE" w:rsidP="005A00BE">
            <w:pPr>
              <w:rPr>
                <w:rFonts w:eastAsia="Times New Roman" w:cstheme="minorHAnsi"/>
                <w:color w:val="202124"/>
                <w:sz w:val="36"/>
                <w:szCs w:val="36"/>
              </w:rPr>
            </w:pPr>
            <w:r w:rsidRPr="005A00BE">
              <w:rPr>
                <w:rFonts w:eastAsia="Times New Roman" w:cstheme="minorHAnsi"/>
                <w:color w:val="202124"/>
                <w:sz w:val="36"/>
                <w:szCs w:val="36"/>
              </w:rPr>
              <w:t>Sale Amount</w:t>
            </w:r>
          </w:p>
        </w:tc>
        <w:tc>
          <w:tcPr>
            <w:tcW w:w="4072" w:type="dxa"/>
          </w:tcPr>
          <w:p w:rsidR="005A00BE" w:rsidRPr="00173F90" w:rsidRDefault="005A00BE" w:rsidP="005A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float</w:t>
            </w:r>
          </w:p>
        </w:tc>
        <w:tc>
          <w:tcPr>
            <w:tcW w:w="2523" w:type="dxa"/>
          </w:tcPr>
          <w:p w:rsidR="005A00BE" w:rsidRPr="005A00BE" w:rsidRDefault="005A00BE" w:rsidP="005A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</w:rPr>
              <w:t>The sales price of the property.</w:t>
            </w:r>
          </w:p>
          <w:p w:rsidR="005A00BE" w:rsidRPr="005A00BE" w:rsidRDefault="005A00BE" w:rsidP="005A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</w:p>
          <w:p w:rsidR="005A00BE" w:rsidRPr="005A00BE" w:rsidRDefault="005A00BE" w:rsidP="005A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>El precio de venta de la propiedad.</w:t>
            </w:r>
          </w:p>
        </w:tc>
      </w:tr>
      <w:tr w:rsidR="005A00BE" w:rsidRPr="00A7152C" w:rsidTr="005A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5A00BE" w:rsidRPr="005A00BE" w:rsidRDefault="005A00BE" w:rsidP="005A00BE">
            <w:pPr>
              <w:rPr>
                <w:rFonts w:eastAsia="Times New Roman" w:cstheme="minorHAnsi"/>
                <w:color w:val="202124"/>
                <w:sz w:val="36"/>
                <w:szCs w:val="36"/>
              </w:rPr>
            </w:pPr>
            <w:r w:rsidRPr="005A00BE">
              <w:rPr>
                <w:rFonts w:eastAsia="Times New Roman" w:cstheme="minorHAnsi"/>
                <w:color w:val="202124"/>
                <w:sz w:val="36"/>
                <w:szCs w:val="36"/>
              </w:rPr>
              <w:t>Sales Ratio</w:t>
            </w:r>
          </w:p>
        </w:tc>
        <w:tc>
          <w:tcPr>
            <w:tcW w:w="4072" w:type="dxa"/>
          </w:tcPr>
          <w:p w:rsidR="005A00BE" w:rsidRPr="00173F90" w:rsidRDefault="00BA2F05" w:rsidP="005A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float</w:t>
            </w:r>
          </w:p>
        </w:tc>
        <w:tc>
          <w:tcPr>
            <w:tcW w:w="2523" w:type="dxa"/>
          </w:tcPr>
          <w:p w:rsidR="005A00BE" w:rsidRPr="005A00BE" w:rsidRDefault="005A00BE" w:rsidP="005A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</w:rPr>
              <w:t>The sales ratio of the property.</w:t>
            </w:r>
          </w:p>
          <w:p w:rsidR="005A00BE" w:rsidRPr="005A00BE" w:rsidRDefault="005A00BE" w:rsidP="005A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</w:p>
          <w:p w:rsidR="005A00BE" w:rsidRPr="005A00BE" w:rsidRDefault="005A00BE" w:rsidP="005A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>El ratio de ventas del inmueble.</w:t>
            </w:r>
            <w:r w:rsidR="00595CF4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 xml:space="preserve"> </w:t>
            </w:r>
            <w:proofErr w:type="spellStart"/>
            <w:r w:rsidR="00595CF4" w:rsidRPr="00595CF4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>salesRatio</w:t>
            </w:r>
            <w:proofErr w:type="spellEnd"/>
            <w:r w:rsidR="00595CF4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 xml:space="preserve"> = </w:t>
            </w:r>
            <w:proofErr w:type="spellStart"/>
            <w:r w:rsidR="00595CF4" w:rsidRPr="00595CF4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>assessedValue</w:t>
            </w:r>
            <w:proofErr w:type="spellEnd"/>
            <w:r w:rsidR="00595CF4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 xml:space="preserve"> / </w:t>
            </w:r>
            <w:proofErr w:type="spellStart"/>
            <w:r w:rsidR="00595CF4" w:rsidRPr="00595CF4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>saleAmount</w:t>
            </w:r>
            <w:proofErr w:type="spellEnd"/>
          </w:p>
        </w:tc>
      </w:tr>
      <w:tr w:rsidR="005A00BE" w:rsidRPr="00A7152C" w:rsidTr="005A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5A00BE" w:rsidRPr="005A00BE" w:rsidRDefault="005A00BE" w:rsidP="005A00BE">
            <w:pPr>
              <w:rPr>
                <w:rFonts w:eastAsia="Times New Roman" w:cstheme="minorHAnsi"/>
                <w:color w:val="202124"/>
                <w:sz w:val="36"/>
                <w:szCs w:val="36"/>
              </w:rPr>
            </w:pPr>
            <w:r w:rsidRPr="005A00BE">
              <w:rPr>
                <w:rFonts w:eastAsia="Times New Roman" w:cstheme="minorHAnsi"/>
                <w:color w:val="202124"/>
                <w:sz w:val="36"/>
                <w:szCs w:val="36"/>
              </w:rPr>
              <w:lastRenderedPageBreak/>
              <w:t>Property Type</w:t>
            </w:r>
          </w:p>
        </w:tc>
        <w:tc>
          <w:tcPr>
            <w:tcW w:w="4072" w:type="dxa"/>
          </w:tcPr>
          <w:p w:rsidR="005A00BE" w:rsidRPr="00173F90" w:rsidRDefault="005A00BE" w:rsidP="005A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173F90">
              <w:rPr>
                <w:rFonts w:cstheme="minorHAnsi"/>
                <w:color w:val="000000"/>
                <w:sz w:val="32"/>
                <w:szCs w:val="32"/>
              </w:rPr>
              <w:t>object</w:t>
            </w:r>
          </w:p>
        </w:tc>
        <w:tc>
          <w:tcPr>
            <w:tcW w:w="2523" w:type="dxa"/>
          </w:tcPr>
          <w:p w:rsidR="005A00BE" w:rsidRPr="005A00BE" w:rsidRDefault="005A00BE" w:rsidP="005A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</w:rPr>
              <w:t xml:space="preserve">The type of the property (residential, apartment, commercial, industrial, or </w:t>
            </w:r>
            <w:proofErr w:type="gramStart"/>
            <w:r w:rsidRPr="005A00BE">
              <w:rPr>
                <w:rFonts w:eastAsia="Times New Roman" w:cstheme="minorHAnsi"/>
                <w:color w:val="202124"/>
                <w:sz w:val="21"/>
                <w:szCs w:val="21"/>
              </w:rPr>
              <w:t>vacant )</w:t>
            </w:r>
            <w:proofErr w:type="gramEnd"/>
            <w:r w:rsidRPr="005A00BE">
              <w:rPr>
                <w:rFonts w:eastAsia="Times New Roman" w:cstheme="minorHAnsi"/>
                <w:color w:val="202124"/>
                <w:sz w:val="21"/>
                <w:szCs w:val="21"/>
              </w:rPr>
              <w:t>.</w:t>
            </w:r>
          </w:p>
          <w:p w:rsidR="005A00BE" w:rsidRPr="005A00BE" w:rsidRDefault="005A00BE" w:rsidP="005A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</w:p>
          <w:p w:rsidR="005A00BE" w:rsidRPr="005A00BE" w:rsidRDefault="005A00BE" w:rsidP="005A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>El tipo de propiedad (residencial, apartamento, comercial, industrial o terreno vacante).</w:t>
            </w:r>
          </w:p>
        </w:tc>
      </w:tr>
      <w:tr w:rsidR="005A00BE" w:rsidRPr="00A7152C" w:rsidTr="005A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5A00BE" w:rsidRPr="005A00BE" w:rsidRDefault="005A00BE" w:rsidP="005A00BE">
            <w:pPr>
              <w:rPr>
                <w:rFonts w:eastAsia="Times New Roman" w:cstheme="minorHAnsi"/>
                <w:color w:val="202124"/>
                <w:sz w:val="36"/>
                <w:szCs w:val="36"/>
              </w:rPr>
            </w:pPr>
            <w:r w:rsidRPr="005A00BE">
              <w:rPr>
                <w:rFonts w:eastAsia="Times New Roman" w:cstheme="minorHAnsi"/>
                <w:color w:val="202124"/>
                <w:sz w:val="36"/>
                <w:szCs w:val="36"/>
              </w:rPr>
              <w:t>Residential Type</w:t>
            </w:r>
          </w:p>
        </w:tc>
        <w:tc>
          <w:tcPr>
            <w:tcW w:w="4072" w:type="dxa"/>
          </w:tcPr>
          <w:p w:rsidR="005A00BE" w:rsidRPr="00173F90" w:rsidRDefault="005A00BE" w:rsidP="005A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73F90">
              <w:rPr>
                <w:sz w:val="36"/>
                <w:szCs w:val="36"/>
              </w:rPr>
              <w:t>object</w:t>
            </w:r>
          </w:p>
        </w:tc>
        <w:tc>
          <w:tcPr>
            <w:tcW w:w="2523" w:type="dxa"/>
          </w:tcPr>
          <w:p w:rsidR="005A00BE" w:rsidRPr="005A00BE" w:rsidRDefault="005A00BE" w:rsidP="005A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</w:rPr>
              <w:t>The type of residential property (if applicable).</w:t>
            </w:r>
          </w:p>
          <w:p w:rsidR="005A00BE" w:rsidRPr="005A00BE" w:rsidRDefault="005A00BE" w:rsidP="005A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</w:p>
          <w:p w:rsidR="005A00BE" w:rsidRPr="005A00BE" w:rsidRDefault="005A00BE" w:rsidP="005A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>El tipo de propiedad residencial (si corresponde).</w:t>
            </w:r>
          </w:p>
        </w:tc>
      </w:tr>
      <w:tr w:rsidR="005A00BE" w:rsidRPr="00A7152C" w:rsidTr="005A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5A00BE" w:rsidRPr="005A00BE" w:rsidRDefault="005A00BE" w:rsidP="005A00BE">
            <w:pPr>
              <w:rPr>
                <w:rFonts w:eastAsia="Times New Roman" w:cstheme="minorHAnsi"/>
                <w:color w:val="202124"/>
                <w:sz w:val="36"/>
                <w:szCs w:val="36"/>
              </w:rPr>
            </w:pPr>
            <w:r w:rsidRPr="005A00BE">
              <w:rPr>
                <w:rFonts w:eastAsia="Times New Roman" w:cstheme="minorHAnsi"/>
                <w:color w:val="202124"/>
                <w:sz w:val="36"/>
                <w:szCs w:val="36"/>
              </w:rPr>
              <w:t>Non-Use Code</w:t>
            </w:r>
          </w:p>
        </w:tc>
        <w:tc>
          <w:tcPr>
            <w:tcW w:w="4072" w:type="dxa"/>
          </w:tcPr>
          <w:p w:rsidR="005A00BE" w:rsidRPr="00173F90" w:rsidRDefault="005A00BE" w:rsidP="005A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73F90">
              <w:rPr>
                <w:sz w:val="36"/>
                <w:szCs w:val="36"/>
              </w:rPr>
              <w:t>object</w:t>
            </w:r>
          </w:p>
        </w:tc>
        <w:tc>
          <w:tcPr>
            <w:tcW w:w="2523" w:type="dxa"/>
          </w:tcPr>
          <w:p w:rsidR="005A00BE" w:rsidRPr="005A00BE" w:rsidRDefault="005A00BE" w:rsidP="005A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</w:rPr>
              <w:t>The non-use code associated with the property (if applicable).</w:t>
            </w:r>
          </w:p>
          <w:p w:rsidR="005A00BE" w:rsidRPr="005A00BE" w:rsidRDefault="005A00BE" w:rsidP="005A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</w:p>
          <w:p w:rsidR="005A00BE" w:rsidRPr="005A00BE" w:rsidRDefault="005A00BE" w:rsidP="005A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>El código de no uso asociado a la propiedad (si procede).</w:t>
            </w:r>
          </w:p>
        </w:tc>
      </w:tr>
      <w:tr w:rsidR="005A00BE" w:rsidRPr="00A7152C" w:rsidTr="005A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5A00BE" w:rsidRPr="005A00BE" w:rsidRDefault="005A00BE" w:rsidP="005A00BE">
            <w:pPr>
              <w:rPr>
                <w:rFonts w:eastAsia="Times New Roman" w:cstheme="minorHAnsi"/>
                <w:color w:val="202124"/>
                <w:sz w:val="36"/>
                <w:szCs w:val="36"/>
              </w:rPr>
            </w:pPr>
            <w:r w:rsidRPr="005A00BE">
              <w:rPr>
                <w:rFonts w:eastAsia="Times New Roman" w:cstheme="minorHAnsi"/>
                <w:color w:val="202124"/>
                <w:sz w:val="36"/>
                <w:szCs w:val="36"/>
              </w:rPr>
              <w:t>Assessor Remarks</w:t>
            </w:r>
          </w:p>
        </w:tc>
        <w:tc>
          <w:tcPr>
            <w:tcW w:w="4072" w:type="dxa"/>
          </w:tcPr>
          <w:p w:rsidR="005A00BE" w:rsidRPr="00173F90" w:rsidRDefault="005A00BE" w:rsidP="005A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73F90">
              <w:rPr>
                <w:sz w:val="36"/>
                <w:szCs w:val="36"/>
              </w:rPr>
              <w:t>object</w:t>
            </w:r>
          </w:p>
        </w:tc>
        <w:tc>
          <w:tcPr>
            <w:tcW w:w="2523" w:type="dxa"/>
          </w:tcPr>
          <w:p w:rsidR="005A00BE" w:rsidRPr="005A00BE" w:rsidRDefault="005A00BE" w:rsidP="005A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</w:rPr>
              <w:t>Remarks or comments provided by the assessor (if available).</w:t>
            </w:r>
          </w:p>
          <w:p w:rsidR="005A00BE" w:rsidRPr="005A00BE" w:rsidRDefault="005A00BE" w:rsidP="005A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</w:p>
          <w:p w:rsidR="005A00BE" w:rsidRPr="005A00BE" w:rsidRDefault="005A00BE" w:rsidP="005A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>Observaciones o comentarios proporcionados por el evaluador (si están disponibles).</w:t>
            </w:r>
          </w:p>
        </w:tc>
      </w:tr>
      <w:tr w:rsidR="005A00BE" w:rsidRPr="00A7152C" w:rsidTr="005A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5A00BE" w:rsidRPr="005A00BE" w:rsidRDefault="005A00BE" w:rsidP="005A00BE">
            <w:pPr>
              <w:rPr>
                <w:rFonts w:eastAsia="Times New Roman" w:cstheme="minorHAnsi"/>
                <w:color w:val="202124"/>
                <w:sz w:val="36"/>
                <w:szCs w:val="36"/>
              </w:rPr>
            </w:pPr>
            <w:r w:rsidRPr="005A00BE">
              <w:rPr>
                <w:rFonts w:eastAsia="Times New Roman" w:cstheme="minorHAnsi"/>
                <w:color w:val="202124"/>
                <w:sz w:val="36"/>
                <w:szCs w:val="36"/>
              </w:rPr>
              <w:t>OPM Remarks</w:t>
            </w:r>
          </w:p>
        </w:tc>
        <w:tc>
          <w:tcPr>
            <w:tcW w:w="4072" w:type="dxa"/>
          </w:tcPr>
          <w:p w:rsidR="005A00BE" w:rsidRPr="00173F90" w:rsidRDefault="005A00BE" w:rsidP="005A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73F90">
              <w:rPr>
                <w:sz w:val="36"/>
                <w:szCs w:val="36"/>
              </w:rPr>
              <w:t>object</w:t>
            </w:r>
          </w:p>
        </w:tc>
        <w:tc>
          <w:tcPr>
            <w:tcW w:w="2523" w:type="dxa"/>
          </w:tcPr>
          <w:p w:rsidR="005A00BE" w:rsidRPr="005A00BE" w:rsidRDefault="005A00BE" w:rsidP="005A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</w:rPr>
              <w:t>Remarks or comments provided by the Office of Policy and Management (if available).</w:t>
            </w:r>
          </w:p>
          <w:p w:rsidR="005A00BE" w:rsidRPr="005A00BE" w:rsidRDefault="005A00BE" w:rsidP="005A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</w:p>
          <w:p w:rsidR="005A00BE" w:rsidRPr="005A00BE" w:rsidRDefault="005A00BE" w:rsidP="005A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>Observaciones u observaciones proporcionadas por la Oficina de Políticas y Gestión (si están disponibles).</w:t>
            </w:r>
          </w:p>
        </w:tc>
      </w:tr>
      <w:tr w:rsidR="005A00BE" w:rsidRPr="00A7152C" w:rsidTr="005A00BE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5A00BE" w:rsidRPr="005A00BE" w:rsidRDefault="005A00BE" w:rsidP="005A00BE">
            <w:pPr>
              <w:rPr>
                <w:rFonts w:eastAsia="Times New Roman" w:cstheme="minorHAnsi"/>
                <w:color w:val="202124"/>
                <w:sz w:val="36"/>
                <w:szCs w:val="36"/>
              </w:rPr>
            </w:pPr>
            <w:r w:rsidRPr="005A00BE">
              <w:rPr>
                <w:rFonts w:eastAsia="Times New Roman" w:cstheme="minorHAnsi"/>
                <w:color w:val="202124"/>
                <w:sz w:val="36"/>
                <w:szCs w:val="36"/>
              </w:rPr>
              <w:t>Location</w:t>
            </w:r>
          </w:p>
        </w:tc>
        <w:tc>
          <w:tcPr>
            <w:tcW w:w="4072" w:type="dxa"/>
          </w:tcPr>
          <w:p w:rsidR="005A00BE" w:rsidRPr="00173F90" w:rsidRDefault="005A00BE" w:rsidP="005A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73F90">
              <w:rPr>
                <w:sz w:val="36"/>
                <w:szCs w:val="36"/>
              </w:rPr>
              <w:t>object</w:t>
            </w:r>
          </w:p>
        </w:tc>
        <w:tc>
          <w:tcPr>
            <w:tcW w:w="2523" w:type="dxa"/>
          </w:tcPr>
          <w:p w:rsidR="005A00BE" w:rsidRPr="005A00BE" w:rsidRDefault="005A00BE" w:rsidP="005A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</w:rPr>
              <w:t>The location of the property (if available).</w:t>
            </w:r>
          </w:p>
          <w:p w:rsidR="005A00BE" w:rsidRPr="005A00BE" w:rsidRDefault="005A00BE" w:rsidP="005A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</w:rPr>
            </w:pPr>
          </w:p>
          <w:p w:rsidR="005A00BE" w:rsidRPr="005A00BE" w:rsidRDefault="005A00BE" w:rsidP="005A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</w:pPr>
            <w:r w:rsidRPr="005A00BE">
              <w:rPr>
                <w:rFonts w:eastAsia="Times New Roman" w:cstheme="minorHAnsi"/>
                <w:color w:val="202124"/>
                <w:sz w:val="21"/>
                <w:szCs w:val="21"/>
                <w:lang w:val="es-MX"/>
              </w:rPr>
              <w:t>La ubicación de la propiedad (si está disponible).</w:t>
            </w:r>
          </w:p>
        </w:tc>
      </w:tr>
    </w:tbl>
    <w:p w:rsidR="00EE5C0C" w:rsidRPr="00A7152C" w:rsidRDefault="00EE5C0C" w:rsidP="00173F90">
      <w:pPr>
        <w:rPr>
          <w:sz w:val="36"/>
          <w:szCs w:val="36"/>
          <w:lang w:val="es-CR"/>
        </w:rPr>
      </w:pPr>
    </w:p>
    <w:sectPr w:rsidR="00EE5C0C" w:rsidRPr="00A7152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58"/>
    <w:rsid w:val="00173F90"/>
    <w:rsid w:val="00386F48"/>
    <w:rsid w:val="00595CF4"/>
    <w:rsid w:val="005A00BE"/>
    <w:rsid w:val="00A54358"/>
    <w:rsid w:val="00A7152C"/>
    <w:rsid w:val="00BA2F05"/>
    <w:rsid w:val="00BC40CE"/>
    <w:rsid w:val="00EE5C0C"/>
    <w:rsid w:val="00F8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9E29"/>
  <w15:chartTrackingRefBased/>
  <w15:docId w15:val="{669FD5A4-1E19-481D-B81D-46FFA38F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A54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54358"/>
    <w:rPr>
      <w:rFonts w:ascii="Courier New" w:eastAsia="Times New Roman" w:hAnsi="Courier New" w:cs="Courier New"/>
      <w:sz w:val="20"/>
      <w:szCs w:val="20"/>
    </w:rPr>
  </w:style>
  <w:style w:type="table" w:styleId="Tablaconcuadrcula4-nfasis1">
    <w:name w:val="Grid Table 4 Accent 1"/>
    <w:basedOn w:val="Tablanormal"/>
    <w:uiPriority w:val="49"/>
    <w:rsid w:val="00173F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3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6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64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78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8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9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32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98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027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6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43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95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2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84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35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80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48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8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1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10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51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524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519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6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60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72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0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0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76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33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887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20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92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6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1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5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23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07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26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132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047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36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1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92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65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0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67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664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201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5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7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4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1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77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7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9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54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43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171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4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9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07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88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74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654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05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25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2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4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66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1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45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35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026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9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0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8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15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0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63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8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9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58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366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657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8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9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9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05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86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970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426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02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42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8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3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6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96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19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0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8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61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578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9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4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1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7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8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9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8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24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78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84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2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Membreño</dc:creator>
  <cp:keywords/>
  <dc:description/>
  <cp:lastModifiedBy>Jeremy Membreño</cp:lastModifiedBy>
  <cp:revision>3</cp:revision>
  <dcterms:created xsi:type="dcterms:W3CDTF">2023-08-04T16:17:00Z</dcterms:created>
  <dcterms:modified xsi:type="dcterms:W3CDTF">2023-08-07T04:41:00Z</dcterms:modified>
</cp:coreProperties>
</file>