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F3864" w:val="clear"/>
            <w:tcMar>
              <w:top w:type="dxa" w:w="600"/>
              <w:left w:type="dxa" w:w="480"/>
              <w:bottom w:type="dxa" w:w="600"/>
              <w:right w:type="dxa" w:w="480"/>
            </w:tcMar>
          </w:tcPr>
          <w:p>
            <w:pPr>
              <w:spacing w:after="100" w:before="80"/>
            </w:pPr>
            <w:r>
              <w:rPr>
                <w:rFonts w:ascii="Arial" w:cs="Arial" w:eastAsia="Arial" w:hAnsi="Arial"/>
                <w:b w:val="false"/>
                <w:bCs w:val="false"/>
                <w:i w:val="false"/>
                <w:iCs w:val="false"/>
                <w:color w:val="00ACC1"/>
                <w:sz w:val="20"/>
                <w:szCs w:val="20"/>
              </w:rPr>
              <w:t xml:space="preserve">LOOGOOTEE MFG. — TRAINING SIMULATION</w:t>
            </w:r>
          </w:p>
          <w:p>
            <w:pPr>
              <w:spacing w:after="40" w:before="80"/>
            </w:pPr>
            <w:r>
              <w:rPr>
                <w:rFonts w:ascii="Arial" w:cs="Arial" w:eastAsia="Arial" w:hAnsi="Arial"/>
                <w:b/>
                <w:bCs/>
                <w:i w:val="false"/>
                <w:iCs w:val="false"/>
                <w:color w:val="FFFFFF"/>
                <w:sz w:val="44"/>
                <w:szCs w:val="44"/>
              </w:rPr>
              <w:t xml:space="preserve">Project Status &amp; Open Revisions</w:t>
            </w:r>
          </w:p>
          <w:p>
            <w:pPr>
              <w:spacing w:after="180" w:before="0"/>
            </w:pPr>
            <w:r>
              <w:rPr>
                <w:rFonts w:ascii="Arial" w:cs="Arial" w:eastAsia="Arial" w:hAnsi="Arial"/>
                <w:b/>
                <w:bCs/>
                <w:i w:val="false"/>
                <w:iCs w:val="false"/>
                <w:color w:val="7799CC"/>
                <w:sz w:val="24"/>
                <w:szCs w:val="24"/>
              </w:rPr>
              <w:t xml:space="preserve">Living Document — Updated as Decisions Are Made</w:t>
            </w:r>
          </w:p>
          <w:p>
            <w:pPr>
              <w:pBdr>
                <w:bottom w:val="single" w:color="4477AA" w:sz="2" w:space="1"/>
              </w:pBdr>
              <w:spacing w:after="0" w:before="0"/>
            </w:pPr>
            <w:r>
              <w:t xml:space="preserve"/>
            </w:r>
          </w:p>
          <w:p>
            <w:pPr>
              <w:spacing w:after="40" w:before="120"/>
            </w:pPr>
            <w:r>
              <w:rPr>
                <w:rFonts w:ascii="Arial" w:cs="Arial" w:eastAsia="Arial" w:hAnsi="Arial"/>
                <w:b w:val="false"/>
                <w:bCs w:val="false"/>
                <w:i/>
                <w:iCs/>
                <w:color w:val="00ACC1"/>
                <w:sz w:val="18"/>
                <w:szCs w:val="18"/>
              </w:rPr>
              <w:t xml:space="preserve">Jeremy Field  ·  Loogootee Mfg. Training Simulation  ·  April 2026</w:t>
            </w:r>
          </w:p>
          <w:p>
            <w:pPr>
              <w:spacing w:after="80" w:before="80"/>
            </w:pPr>
            <w:r>
              <w:rPr>
                <w:rFonts w:ascii="Arial" w:cs="Arial" w:eastAsia="Arial" w:hAnsi="Arial"/>
                <w:b w:val="false"/>
                <w:bCs w:val="false"/>
                <w:i/>
                <w:iCs/>
                <w:color w:val="445566"/>
                <w:sz w:val="16"/>
                <w:szCs w:val="16"/>
              </w:rPr>
              <w:t xml:space="preserve">This document is updated continuously. Formal document revisions happen at consolidation points only.</w:t>
            </w:r>
          </w:p>
        </w:tc>
      </w:tr>
    </w:tbl>
    <w:p>
      <w:pPr>
        <w:spacing w:after="0" w:before="40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F3864" w:val="clear"/>
            <w:tcMar>
              <w:top w:type="dxa" w:w="100"/>
              <w:left w:type="dxa" w:w="240"/>
              <w:bottom w:type="dxa" w:w="100"/>
              <w:right w:type="dxa" w:w="240"/>
            </w:tcMar>
          </w:tcPr>
          <w:p>
            <w:pPr>
              <w:spacing w:after="60" w:before="60"/>
            </w:pPr>
            <w:r>
              <w:rPr>
                <w:rFonts w:ascii="Arial" w:cs="Arial" w:eastAsia="Arial" w:hAnsi="Arial"/>
                <w:b/>
                <w:bCs/>
                <w:i w:val="false"/>
                <w:iCs w:val="false"/>
                <w:color w:val="00ACC1"/>
                <w:sz w:val="22"/>
                <w:szCs w:val="22"/>
              </w:rPr>
              <w:t xml:space="preserve">1.  </w:t>
            </w:r>
            <w:r>
              <w:rPr>
                <w:rFonts w:ascii="Arial" w:cs="Arial" w:eastAsia="Arial" w:hAnsi="Arial"/>
                <w:b/>
                <w:bCs/>
                <w:i w:val="false"/>
                <w:iCs w:val="false"/>
                <w:color w:val="FFFFFF"/>
                <w:sz w:val="22"/>
                <w:szCs w:val="22"/>
              </w:rPr>
              <w:t xml:space="preserve">PROJECT STATUS SUMMARY</w:t>
            </w:r>
          </w:p>
        </w:tc>
      </w:tr>
    </w:tbl>
    <w:p>
      <w:pPr>
        <w:spacing w:after="0" w:before="20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8F5E9" w:val="clear"/>
            <w:tcMar>
              <w:top w:type="dxa" w:w="80"/>
              <w:left w:type="dxa" w:w="200"/>
              <w:bottom w:type="dxa" w:w="80"/>
              <w:right w:type="dxa" w:w="200"/>
            </w:tcMar>
          </w:tcPr>
          <w:p>
            <w:pPr>
              <w:spacing w:after="40" w:before="40"/>
            </w:pPr>
            <w:r>
              <w:rPr>
                <w:rFonts w:ascii="Arial" w:cs="Arial" w:eastAsia="Arial" w:hAnsi="Arial"/>
                <w:b/>
                <w:bCs/>
                <w:i w:val="false"/>
                <w:iCs w:val="false"/>
                <w:color w:val="1B5E20"/>
                <w:sz w:val="17"/>
                <w:szCs w:val="17"/>
              </w:rPr>
              <w:t xml:space="preserve">CURRENT PHASE:  </w:t>
            </w:r>
            <w:r>
              <w:rPr>
                <w:rFonts w:ascii="Arial" w:cs="Arial" w:eastAsia="Arial" w:hAnsi="Arial"/>
                <w:b w:val="false"/>
                <w:bCs w:val="false"/>
                <w:i w:val="false"/>
                <w:iCs w:val="false"/>
                <w:color w:val="1B5E20"/>
                <w:sz w:val="17"/>
                <w:szCs w:val="17"/>
              </w:rPr>
              <w:t xml:space="preserve">Phase 1 — Controller Commissioning and UNS Integration</w:t>
            </w:r>
          </w:p>
        </w:tc>
      </w:tr>
    </w:tbl>
    <w:p>
      <w:pPr>
        <w:spacing w:after="0" w:before="14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EEF2F8" w:val="clear"/>
            <w:tcMar>
              <w:top w:type="dxa" w:w="80"/>
              <w:left w:type="dxa" w:w="140"/>
              <w:bottom w:type="dxa" w:w="80"/>
              <w:right w:type="dxa" w:w="100"/>
            </w:tcMar>
          </w:tcPr>
          <w:p>
            <w:r>
              <w:rPr>
                <w:rFonts w:ascii="Arial" w:cs="Arial" w:eastAsia="Arial" w:hAnsi="Arial"/>
                <w:b/>
                <w:bCs/>
                <w:i w:val="false"/>
                <w:iCs w:val="false"/>
                <w:color w:val="1F3864"/>
                <w:sz w:val="17"/>
                <w:szCs w:val="17"/>
              </w:rPr>
              <w:t xml:space="preserve">Active Phase</w:t>
            </w:r>
          </w:p>
        </w:tc>
        <w:tc>
          <w:tcPr>
            <w:tcW w:type="dxa" w:w="69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Phase 1 — Controller Commissioning and UNS Integration — all 11 controllers programmed, simulation running, all data publishing to UNS</w:t>
            </w:r>
          </w:p>
        </w:tc>
      </w:tr>
      <w:tr>
        <w:tc>
          <w:tcPr>
            <w:tcW w:type="dxa" w:w="24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bCs/>
                <w:i w:val="false"/>
                <w:iCs w:val="false"/>
                <w:color w:val="1F3864"/>
                <w:sz w:val="17"/>
                <w:szCs w:val="17"/>
              </w:rPr>
              <w:t xml:space="preserve">Overall Status</w:t>
            </w:r>
          </w:p>
        </w:tc>
        <w:tc>
          <w:tcPr>
            <w:tcW w:type="dxa" w:w="69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In Progress — rack assembly underway, MicroLogix 1000 program nearly complete, desktop training stand in final build</w:t>
            </w:r>
          </w:p>
        </w:tc>
      </w:tr>
      <w:tr>
        <w:tc>
          <w:tcPr>
            <w:tcW w:type="dxa" w:w="2400"/>
            <w:tcBorders>
              <w:top w:val="single" w:color="CCCCCC" w:sz="1"/>
              <w:left w:val="single" w:color="CCCCCC" w:sz="1"/>
              <w:bottom w:val="single" w:color="CCCCCC" w:sz="1"/>
              <w:right w:val="single" w:color="CCCCCC" w:sz="1"/>
            </w:tcBorders>
            <w:shd w:fill="EEF2F8" w:val="clear"/>
            <w:tcMar>
              <w:top w:type="dxa" w:w="80"/>
              <w:left w:type="dxa" w:w="140"/>
              <w:bottom w:type="dxa" w:w="80"/>
              <w:right w:type="dxa" w:w="100"/>
            </w:tcMar>
          </w:tcPr>
          <w:p>
            <w:r>
              <w:rPr>
                <w:rFonts w:ascii="Arial" w:cs="Arial" w:eastAsia="Arial" w:hAnsi="Arial"/>
                <w:b/>
                <w:bCs/>
                <w:i w:val="false"/>
                <w:iCs w:val="false"/>
                <w:color w:val="1F3864"/>
                <w:sz w:val="17"/>
                <w:szCs w:val="17"/>
              </w:rPr>
              <w:t xml:space="preserve">Current Priority</w:t>
            </w:r>
          </w:p>
        </w:tc>
        <w:tc>
          <w:tcPr>
            <w:tcW w:type="dxa" w:w="69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School (primary) · New job onboarding · 60-day programming exercise · Rack assembly as hardware arrives</w:t>
            </w:r>
          </w:p>
        </w:tc>
      </w:tr>
      <w:tr>
        <w:tc>
          <w:tcPr>
            <w:tcW w:type="dxa" w:w="24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bCs/>
                <w:i w:val="false"/>
                <w:iCs w:val="false"/>
                <w:color w:val="1F3864"/>
                <w:sz w:val="17"/>
                <w:szCs w:val="17"/>
              </w:rPr>
              <w:t xml:space="preserve">Gate G0 Status</w:t>
            </w:r>
          </w:p>
        </w:tc>
        <w:tc>
          <w:tcPr>
            <w:tcW w:type="dxa" w:w="69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COMPLETE — all foundation documents produced, architecture defined, version control initialized</w:t>
            </w:r>
          </w:p>
        </w:tc>
      </w:tr>
      <w:tr>
        <w:tc>
          <w:tcPr>
            <w:tcW w:type="dxa" w:w="2400"/>
            <w:tcBorders>
              <w:top w:val="single" w:color="CCCCCC" w:sz="1"/>
              <w:left w:val="single" w:color="CCCCCC" w:sz="1"/>
              <w:bottom w:val="single" w:color="CCCCCC" w:sz="1"/>
              <w:right w:val="single" w:color="CCCCCC" w:sz="1"/>
            </w:tcBorders>
            <w:shd w:fill="EEF2F8" w:val="clear"/>
            <w:tcMar>
              <w:top w:type="dxa" w:w="80"/>
              <w:left w:type="dxa" w:w="140"/>
              <w:bottom w:type="dxa" w:w="80"/>
              <w:right w:type="dxa" w:w="100"/>
            </w:tcMar>
          </w:tcPr>
          <w:p>
            <w:r>
              <w:rPr>
                <w:rFonts w:ascii="Arial" w:cs="Arial" w:eastAsia="Arial" w:hAnsi="Arial"/>
                <w:b/>
                <w:bCs/>
                <w:i w:val="false"/>
                <w:iCs w:val="false"/>
                <w:color w:val="1F3864"/>
                <w:sz w:val="17"/>
                <w:szCs w:val="17"/>
              </w:rPr>
              <w:t xml:space="preserve">Gate G1 Criteria</w:t>
            </w:r>
          </w:p>
        </w:tc>
        <w:tc>
          <w:tcPr>
            <w:tcW w:type="dxa" w:w="69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All 11 controllers commissioned and publishing Sparkplug B — see Section 9 for full gate criteria</w:t>
            </w:r>
          </w:p>
        </w:tc>
      </w:tr>
      <w:tr>
        <w:tc>
          <w:tcPr>
            <w:tcW w:type="dxa" w:w="24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bCs/>
                <w:i w:val="false"/>
                <w:iCs w:val="false"/>
                <w:color w:val="1F3864"/>
                <w:sz w:val="17"/>
                <w:szCs w:val="17"/>
              </w:rPr>
              <w:t xml:space="preserve">Next Milestone</w:t>
            </w:r>
          </w:p>
        </w:tc>
        <w:tc>
          <w:tcPr>
            <w:tcW w:type="dxa" w:w="69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Desktop training stand complete — enables full I/O testing before rack commissioning</w:t>
            </w:r>
          </w:p>
        </w:tc>
      </w:tr>
      <w:tr>
        <w:tc>
          <w:tcPr>
            <w:tcW w:type="dxa" w:w="2400"/>
            <w:tcBorders>
              <w:top w:val="single" w:color="CCCCCC" w:sz="1"/>
              <w:left w:val="single" w:color="CCCCCC" w:sz="1"/>
              <w:bottom w:val="single" w:color="CCCCCC" w:sz="1"/>
              <w:right w:val="single" w:color="CCCCCC" w:sz="1"/>
            </w:tcBorders>
            <w:shd w:fill="EEF2F8" w:val="clear"/>
            <w:tcMar>
              <w:top w:type="dxa" w:w="80"/>
              <w:left w:type="dxa" w:w="140"/>
              <w:bottom w:type="dxa" w:w="80"/>
              <w:right w:type="dxa" w:w="100"/>
            </w:tcMar>
          </w:tcPr>
          <w:p>
            <w:r>
              <w:rPr>
                <w:rFonts w:ascii="Arial" w:cs="Arial" w:eastAsia="Arial" w:hAnsi="Arial"/>
                <w:b/>
                <w:bCs/>
                <w:i w:val="false"/>
                <w:iCs w:val="false"/>
                <w:color w:val="1F3864"/>
                <w:sz w:val="17"/>
                <w:szCs w:val="17"/>
              </w:rPr>
              <w:t xml:space="preserve">Rack Power Status</w:t>
            </w:r>
          </w:p>
        </w:tc>
        <w:tc>
          <w:tcPr>
            <w:tcW w:type="dxa" w:w="69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Two dedicated 20A circuits planned — not yet pulled — gate item before rack commissioning</w:t>
            </w:r>
          </w:p>
        </w:tc>
      </w:tr>
      <w:tr>
        <w:tc>
          <w:tcPr>
            <w:tcW w:type="dxa" w:w="24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bCs/>
                <w:i w:val="false"/>
                <w:iCs w:val="false"/>
                <w:color w:val="1F3864"/>
                <w:sz w:val="17"/>
                <w:szCs w:val="17"/>
              </w:rPr>
              <w:t xml:space="preserve">Document Status</w:t>
            </w:r>
          </w:p>
        </w:tc>
        <w:tc>
          <w:tcPr>
            <w:tcW w:type="dxa" w:w="69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Architecture documents stable — open revisions captured in Section 3 of this document</w:t>
            </w:r>
          </w:p>
        </w:tc>
      </w:tr>
      <w:tr>
        <w:tc>
          <w:tcPr>
            <w:tcW w:type="dxa" w:w="2400"/>
            <w:tcBorders>
              <w:top w:val="single" w:color="CCCCCC" w:sz="1"/>
              <w:left w:val="single" w:color="CCCCCC" w:sz="1"/>
              <w:bottom w:val="single" w:color="CCCCCC" w:sz="1"/>
              <w:right w:val="single" w:color="CCCCCC" w:sz="1"/>
            </w:tcBorders>
            <w:shd w:fill="EEF2F8" w:val="clear"/>
            <w:tcMar>
              <w:top w:type="dxa" w:w="80"/>
              <w:left w:type="dxa" w:w="140"/>
              <w:bottom w:type="dxa" w:w="80"/>
              <w:right w:type="dxa" w:w="100"/>
            </w:tcMar>
          </w:tcPr>
          <w:p>
            <w:r>
              <w:rPr>
                <w:rFonts w:ascii="Arial" w:cs="Arial" w:eastAsia="Arial" w:hAnsi="Arial"/>
                <w:b/>
                <w:bCs/>
                <w:i w:val="false"/>
                <w:iCs w:val="false"/>
                <w:color w:val="1F3864"/>
                <w:sz w:val="17"/>
                <w:szCs w:val="17"/>
              </w:rPr>
              <w:t xml:space="preserve">Repository</w:t>
            </w:r>
          </w:p>
        </w:tc>
        <w:tc>
          <w:tcPr>
            <w:tcW w:type="dxa" w:w="69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github.com/JeremySField/loogootee-mfg-training-simulation — active</w:t>
            </w:r>
          </w:p>
        </w:tc>
      </w:tr>
      <w:tr>
        <w:tc>
          <w:tcPr>
            <w:tcW w:type="dxa" w:w="24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bCs/>
                <w:i w:val="false"/>
                <w:iCs w:val="false"/>
                <w:color w:val="1F3864"/>
                <w:sz w:val="17"/>
                <w:szCs w:val="17"/>
              </w:rPr>
              <w:t xml:space="preserve">Last Updated</w:t>
            </w:r>
          </w:p>
        </w:tc>
        <w:tc>
          <w:tcPr>
            <w:tcW w:type="dxa" w:w="69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April 2026</w:t>
            </w:r>
          </w:p>
        </w:tc>
      </w:tr>
    </w:tbl>
    <w:p>
      <w:pPr>
        <w:spacing w:after="0" w:before="40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F3864" w:val="clear"/>
            <w:tcMar>
              <w:top w:type="dxa" w:w="100"/>
              <w:left w:type="dxa" w:w="240"/>
              <w:bottom w:type="dxa" w:w="100"/>
              <w:right w:type="dxa" w:w="240"/>
            </w:tcMar>
          </w:tcPr>
          <w:p>
            <w:pPr>
              <w:spacing w:after="60" w:before="60"/>
            </w:pPr>
            <w:r>
              <w:rPr>
                <w:rFonts w:ascii="Arial" w:cs="Arial" w:eastAsia="Arial" w:hAnsi="Arial"/>
                <w:b/>
                <w:bCs/>
                <w:i w:val="false"/>
                <w:iCs w:val="false"/>
                <w:color w:val="00ACC1"/>
                <w:sz w:val="22"/>
                <w:szCs w:val="22"/>
              </w:rPr>
              <w:t xml:space="preserve">2.  </w:t>
            </w:r>
            <w:r>
              <w:rPr>
                <w:rFonts w:ascii="Arial" w:cs="Arial" w:eastAsia="Arial" w:hAnsi="Arial"/>
                <w:b/>
                <w:bCs/>
                <w:i w:val="false"/>
                <w:iCs w:val="false"/>
                <w:color w:val="FFFFFF"/>
                <w:sz w:val="22"/>
                <w:szCs w:val="22"/>
              </w:rPr>
              <w:t xml:space="preserve">ARCHITECTURE CURRENT STATE</w:t>
            </w:r>
          </w:p>
        </w:tc>
      </w:tr>
    </w:tbl>
    <w:p>
      <w:pPr>
        <w:spacing w:after="0" w:before="200"/>
      </w:pPr>
      <w:r>
        <w:t xml:space="preserve"/>
      </w:r>
    </w:p>
    <w:p>
      <w:pPr>
        <w:spacing w:after="120" w:before="0" w:line="320"/>
      </w:pPr>
      <w:r>
        <w:rPr>
          <w:rFonts w:ascii="Arial" w:cs="Arial" w:eastAsia="Arial" w:hAnsi="Arial"/>
          <w:b w:val="false"/>
          <w:bCs w:val="false"/>
          <w:i w:val="false"/>
          <w:iCs w:val="false"/>
          <w:color w:val="1A1A1A"/>
          <w:sz w:val="19"/>
          <w:szCs w:val="19"/>
        </w:rPr>
        <w:t xml:space="preserve">This section reflects actual confirmed architectural decisions as of the last update date. It supersedes any conflicting content in older document revisions.</w:t>
      </w:r>
    </w:p>
    <w:p>
      <w:pPr>
        <w:spacing w:after="0" w:before="140"/>
      </w:pPr>
      <w:r>
        <w:t xml:space="preserve"/>
      </w:r>
    </w:p>
    <w:p>
      <w:pPr>
        <w:pBdr>
          <w:bottom w:val="single" w:color="2E5FAB" w:sz="2" w:space="2"/>
        </w:pBdr>
        <w:spacing w:after="80" w:before="280"/>
      </w:pPr>
      <w:r>
        <w:rPr>
          <w:rFonts w:ascii="Arial" w:cs="Arial" w:eastAsia="Arial" w:hAnsi="Arial"/>
          <w:b/>
          <w:bCs/>
          <w:i w:val="false"/>
          <w:iCs w:val="false"/>
          <w:color w:val="2E5FAB"/>
          <w:sz w:val="20"/>
          <w:szCs w:val="20"/>
        </w:rPr>
        <w:t xml:space="preserve">2.1  Five-Layer IIoT Stack</w:t>
      </w:r>
    </w:p>
    <w:p>
      <w:pPr>
        <w:spacing w:after="0" w:before="8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600"/>
        <w:gridCol w:w="2000"/>
        <w:gridCol w:w="5760"/>
      </w:tblGrid>
      <w:tr>
        <w:tc>
          <w:tcPr>
            <w:tcW w:type="dxa" w:w="1600"/>
            <w:tcBorders>
              <w:top w:val="single" w:color="CCCCCC" w:sz="1"/>
              <w:left w:val="single" w:color="CCCCCC" w:sz="1"/>
              <w:bottom w:val="single" w:color="CCCCCC" w:sz="1"/>
              <w:right w:val="single" w:color="CCCCCC" w:sz="1"/>
            </w:tcBorders>
            <w:shd w:fill="2E5FAB" w:val="clear"/>
            <w:tcMar>
              <w:top w:type="dxa" w:w="80"/>
              <w:left w:type="dxa" w:w="140"/>
              <w:bottom w:type="dxa" w:w="80"/>
              <w:right w:type="dxa" w:w="100"/>
            </w:tcMar>
          </w:tcPr>
          <w:p>
            <w:r>
              <w:rPr>
                <w:rFonts w:ascii="Arial" w:cs="Arial" w:eastAsia="Arial" w:hAnsi="Arial"/>
                <w:b/>
                <w:bCs/>
                <w:i w:val="false"/>
                <w:iCs w:val="false"/>
                <w:color w:val="FFFFFF"/>
                <w:sz w:val="17"/>
                <w:szCs w:val="17"/>
              </w:rPr>
              <w:t xml:space="preserve">Layer</w:t>
            </w:r>
          </w:p>
        </w:tc>
        <w:tc>
          <w:tcPr>
            <w:tcW w:type="dxa" w:w="2000"/>
            <w:tcBorders>
              <w:top w:val="single" w:color="CCCCCC" w:sz="1"/>
              <w:left w:val="single" w:color="CCCCCC" w:sz="1"/>
              <w:bottom w:val="single" w:color="CCCCCC" w:sz="1"/>
              <w:right w:val="single" w:color="CCCCCC" w:sz="1"/>
            </w:tcBorders>
            <w:shd w:fill="2E5FAB" w:val="clear"/>
            <w:tcMar>
              <w:top w:type="dxa" w:w="80"/>
              <w:left w:type="dxa" w:w="140"/>
              <w:bottom w:type="dxa" w:w="80"/>
              <w:right w:type="dxa" w:w="100"/>
            </w:tcMar>
          </w:tcPr>
          <w:p>
            <w:r>
              <w:rPr>
                <w:rFonts w:ascii="Arial" w:cs="Arial" w:eastAsia="Arial" w:hAnsi="Arial"/>
                <w:b/>
                <w:bCs/>
                <w:i w:val="false"/>
                <w:iCs w:val="false"/>
                <w:color w:val="FFFFFF"/>
                <w:sz w:val="17"/>
                <w:szCs w:val="17"/>
              </w:rPr>
              <w:t xml:space="preserve">Component</w:t>
            </w:r>
          </w:p>
        </w:tc>
        <w:tc>
          <w:tcPr>
            <w:tcW w:type="dxa" w:w="5760"/>
            <w:tcBorders>
              <w:top w:val="single" w:color="CCCCCC" w:sz="1"/>
              <w:left w:val="single" w:color="CCCCCC" w:sz="1"/>
              <w:bottom w:val="single" w:color="CCCCCC" w:sz="1"/>
              <w:right w:val="single" w:color="CCCCCC" w:sz="1"/>
            </w:tcBorders>
            <w:shd w:fill="2E5FAB" w:val="clear"/>
            <w:tcMar>
              <w:top w:type="dxa" w:w="80"/>
              <w:left w:type="dxa" w:w="140"/>
              <w:bottom w:type="dxa" w:w="80"/>
              <w:right w:type="dxa" w:w="100"/>
            </w:tcMar>
          </w:tcPr>
          <w:p>
            <w:r>
              <w:rPr>
                <w:rFonts w:ascii="Arial" w:cs="Arial" w:eastAsia="Arial" w:hAnsi="Arial"/>
                <w:b/>
                <w:bCs/>
                <w:i w:val="false"/>
                <w:iCs w:val="false"/>
                <w:color w:val="FFFFFF"/>
                <w:sz w:val="17"/>
                <w:szCs w:val="17"/>
              </w:rPr>
              <w:t xml:space="preserve">Status / Notes</w:t>
            </w:r>
          </w:p>
        </w:tc>
      </w:tr>
      <w:tr>
        <w:tc>
          <w:tcPr>
            <w:tcW w:type="dxa" w:w="16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1 — OT</w:t>
            </w:r>
          </w:p>
        </w:tc>
        <w:tc>
          <w:tcPr>
            <w:tcW w:type="dxa" w:w="20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PLC Controllers</w:t>
            </w:r>
          </w:p>
        </w:tc>
        <w:tc>
          <w:tcPr>
            <w:tcW w:type="dxa" w:w="576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Phase 1 in progress. MicroLogix 1000 nearly complete. All other platforms pending.</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2 — Transport</w:t>
            </w:r>
          </w:p>
        </w:tc>
        <w:tc>
          <w:tcPr>
            <w:tcW w:type="dxa" w:w="2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EPIC · Wago · Mosquitto · Node-RED</w:t>
            </w:r>
          </w:p>
        </w:tc>
        <w:tc>
          <w:tcPr>
            <w:tcW w:type="dxa" w:w="5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Mosquitto broker operational on Pi. EPIC and Wago programs pending. Node-RED flows pending.</w:t>
            </w:r>
          </w:p>
        </w:tc>
      </w:tr>
      <w:tr>
        <w:tc>
          <w:tcPr>
            <w:tcW w:type="dxa" w:w="16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3 — Intelligence</w:t>
            </w:r>
          </w:p>
        </w:tc>
        <w:tc>
          <w:tcPr>
            <w:tcW w:type="dxa" w:w="20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Ignition SCADA</w:t>
            </w:r>
          </w:p>
        </w:tc>
        <w:tc>
          <w:tcPr>
            <w:tcW w:type="dxa" w:w="576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Pending Phase 2. Single calculation engine — all derived metrics. Maker Edition confirmed.</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4 — Historian</w:t>
            </w:r>
          </w:p>
        </w:tc>
        <w:tc>
          <w:tcPr>
            <w:tcW w:type="dxa" w:w="2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Telegraf + InfluxDB OSS</w:t>
            </w:r>
          </w:p>
        </w:tc>
        <w:tc>
          <w:tcPr>
            <w:tcW w:type="dxa" w:w="5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Pending Phase 2. Telegraf is broker-to-historian bridge. All topics captured.</w:t>
            </w:r>
          </w:p>
        </w:tc>
      </w:tr>
      <w:tr>
        <w:tc>
          <w:tcPr>
            <w:tcW w:type="dxa" w:w="16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5 — Visualization</w:t>
            </w:r>
          </w:p>
        </w:tc>
        <w:tc>
          <w:tcPr>
            <w:tcW w:type="dxa" w:w="20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Grafana OSS</w:t>
            </w:r>
          </w:p>
        </w:tc>
        <w:tc>
          <w:tcPr>
            <w:tcW w:type="dxa" w:w="576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Pending Phase 2. Queries InfluxDB only. Read only. No independent calculations.</w:t>
            </w:r>
          </w:p>
        </w:tc>
      </w:tr>
    </w:tbl>
    <w:p>
      <w:pPr>
        <w:spacing w:after="0" w:before="200"/>
      </w:pPr>
      <w:r>
        <w:t xml:space="preserve"/>
      </w:r>
    </w:p>
    <w:p>
      <w:pPr>
        <w:pBdr>
          <w:bottom w:val="single" w:color="2E5FAB" w:sz="2" w:space="2"/>
        </w:pBdr>
        <w:spacing w:after="80" w:before="280"/>
      </w:pPr>
      <w:r>
        <w:rPr>
          <w:rFonts w:ascii="Arial" w:cs="Arial" w:eastAsia="Arial" w:hAnsi="Arial"/>
          <w:b/>
          <w:bCs/>
          <w:i w:val="false"/>
          <w:iCs w:val="false"/>
          <w:color w:val="2E5FAB"/>
          <w:sz w:val="20"/>
          <w:szCs w:val="20"/>
        </w:rPr>
        <w:t xml:space="preserve">2.2  Physical Rack Architecture</w:t>
      </w:r>
    </w:p>
    <w:p>
      <w:pPr>
        <w:spacing w:after="0" w:before="8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EEF2F8" w:val="clear"/>
            <w:tcMar>
              <w:top w:type="dxa" w:w="80"/>
              <w:left w:type="dxa" w:w="140"/>
              <w:bottom w:type="dxa" w:w="80"/>
              <w:right w:type="dxa" w:w="100"/>
            </w:tcMar>
          </w:tcPr>
          <w:p>
            <w:r>
              <w:rPr>
                <w:rFonts w:ascii="Arial" w:cs="Arial" w:eastAsia="Arial" w:hAnsi="Arial"/>
                <w:b/>
                <w:bCs/>
                <w:i w:val="false"/>
                <w:iCs w:val="false"/>
                <w:color w:val="1F3864"/>
                <w:sz w:val="17"/>
                <w:szCs w:val="17"/>
              </w:rPr>
              <w:t xml:space="preserve">42U Main Rack</w:t>
            </w:r>
          </w:p>
        </w:tc>
        <w:tc>
          <w:tcPr>
            <w:tcW w:type="dxa" w:w="69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All PLC controllers, PSU bank, drives, gateways, Cisco switch, GL.iNet router, Hirschmann SPIDER, Raspberry Pi broker, Wago PFC200. Assembled. Shelves installed. Power not yet connected.</w:t>
            </w:r>
          </w:p>
        </w:tc>
      </w:tr>
      <w:tr>
        <w:tc>
          <w:tcPr>
            <w:tcW w:type="dxa" w:w="24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bCs/>
                <w:i w:val="false"/>
                <w:iCs w:val="false"/>
                <w:color w:val="1F3864"/>
                <w:sz w:val="17"/>
                <w:szCs w:val="17"/>
              </w:rPr>
              <w:t xml:space="preserve">AOOSTAR NAS</w:t>
            </w:r>
          </w:p>
        </w:tc>
        <w:tc>
          <w:tcPr>
            <w:tcW w:type="dxa" w:w="69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Sits adjacent to rack on desk or shelf — not rack mounted. Proxmox VE — LXC containers for full IIoT stack. VMs for e!COCKPIT and licensed software isolation. Industrial PC removed from rack.</w:t>
            </w:r>
          </w:p>
        </w:tc>
      </w:tr>
      <w:tr>
        <w:tc>
          <w:tcPr>
            <w:tcW w:type="dxa" w:w="2400"/>
            <w:tcBorders>
              <w:top w:val="single" w:color="CCCCCC" w:sz="1"/>
              <w:left w:val="single" w:color="CCCCCC" w:sz="1"/>
              <w:bottom w:val="single" w:color="CCCCCC" w:sz="1"/>
              <w:right w:val="single" w:color="CCCCCC" w:sz="1"/>
            </w:tcBorders>
            <w:shd w:fill="EEF2F8" w:val="clear"/>
            <w:tcMar>
              <w:top w:type="dxa" w:w="80"/>
              <w:left w:type="dxa" w:w="140"/>
              <w:bottom w:type="dxa" w:w="80"/>
              <w:right w:type="dxa" w:w="100"/>
            </w:tcMar>
          </w:tcPr>
          <w:p>
            <w:r>
              <w:rPr>
                <w:rFonts w:ascii="Arial" w:cs="Arial" w:eastAsia="Arial" w:hAnsi="Arial"/>
                <w:b/>
                <w:bCs/>
                <w:i w:val="false"/>
                <w:iCs w:val="false"/>
                <w:color w:val="1F3864"/>
                <w:sz w:val="17"/>
                <w:szCs w:val="17"/>
              </w:rPr>
              <w:t xml:space="preserve">Operator Panel Rack</w:t>
            </w:r>
          </w:p>
        </w:tc>
        <w:tc>
          <w:tcPr>
            <w:tcW w:type="dxa" w:w="69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PLANNED — 20U or 24U matching rack. Mobile demonstration unit. Houses groov EPIC-PR1, PanelView 800, TBD 10" HMI, physical operator I/O, PowerFlex 525 VFD, IFM AL1590 IO-Link master, pump module, IO-Link sensors. Self-contained — operates standalone or connected to 42U rack.</w:t>
            </w:r>
          </w:p>
        </w:tc>
      </w:tr>
      <w:tr>
        <w:tc>
          <w:tcPr>
            <w:tcW w:type="dxa" w:w="24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bCs/>
                <w:i w:val="false"/>
                <w:iCs w:val="false"/>
                <w:color w:val="1F3864"/>
                <w:sz w:val="17"/>
                <w:szCs w:val="17"/>
              </w:rPr>
              <w:t xml:space="preserve">groov EPIC-PR1</w:t>
            </w:r>
          </w:p>
        </w:tc>
        <w:tc>
          <w:tcPr>
            <w:tcW w:type="dxa" w:w="69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ARCHITECTURE DECISION — EPIC relocates from 42U rack to operator panel rack. Drives groov View, handles operator I/O, connects to pump module sensors via AL1590. Logical role in data architecture unchanged.</w:t>
            </w:r>
          </w:p>
        </w:tc>
      </w:tr>
      <w:tr>
        <w:tc>
          <w:tcPr>
            <w:tcW w:type="dxa" w:w="2400"/>
            <w:tcBorders>
              <w:top w:val="single" w:color="CCCCCC" w:sz="1"/>
              <w:left w:val="single" w:color="CCCCCC" w:sz="1"/>
              <w:bottom w:val="single" w:color="CCCCCC" w:sz="1"/>
              <w:right w:val="single" w:color="CCCCCC" w:sz="1"/>
            </w:tcBorders>
            <w:shd w:fill="EEF2F8" w:val="clear"/>
            <w:tcMar>
              <w:top w:type="dxa" w:w="80"/>
              <w:left w:type="dxa" w:w="140"/>
              <w:bottom w:type="dxa" w:w="80"/>
              <w:right w:type="dxa" w:w="100"/>
            </w:tcMar>
          </w:tcPr>
          <w:p>
            <w:r>
              <w:rPr>
                <w:rFonts w:ascii="Arial" w:cs="Arial" w:eastAsia="Arial" w:hAnsi="Arial"/>
                <w:b/>
                <w:bCs/>
                <w:i w:val="false"/>
                <w:iCs w:val="false"/>
                <w:color w:val="1F3864"/>
                <w:sz w:val="17"/>
                <w:szCs w:val="17"/>
              </w:rPr>
              <w:t xml:space="preserve">Raspberry Pi 4B</w:t>
            </w:r>
          </w:p>
        </w:tc>
        <w:tc>
          <w:tcPr>
            <w:tcW w:type="dxa" w:w="69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Mosquitto broker — operational — Samsung T7 SSD — Phoenix Contact DIN rail housing — broker labels installed.</w:t>
            </w:r>
          </w:p>
        </w:tc>
      </w:tr>
    </w:tbl>
    <w:p>
      <w:pPr>
        <w:spacing w:after="0" w:before="200"/>
      </w:pPr>
      <w:r>
        <w:t xml:space="preserve"/>
      </w:r>
    </w:p>
    <w:p>
      <w:pPr>
        <w:pBdr>
          <w:bottom w:val="single" w:color="2E5FAB" w:sz="2" w:space="2"/>
        </w:pBdr>
        <w:spacing w:after="80" w:before="280"/>
      </w:pPr>
      <w:r>
        <w:rPr>
          <w:rFonts w:ascii="Arial" w:cs="Arial" w:eastAsia="Arial" w:hAnsi="Arial"/>
          <w:b/>
          <w:bCs/>
          <w:i w:val="false"/>
          <w:iCs w:val="false"/>
          <w:color w:val="2E5FAB"/>
          <w:sz w:val="20"/>
          <w:szCs w:val="20"/>
        </w:rPr>
        <w:t xml:space="preserve">2.3  Confirmed Protocol Count</w:t>
      </w:r>
    </w:p>
    <w:p>
      <w:pPr>
        <w:spacing w:after="0" w:before="8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8F5E9" w:val="clear"/>
            <w:tcMar>
              <w:top w:type="dxa" w:w="80"/>
              <w:left w:type="dxa" w:w="200"/>
              <w:bottom w:type="dxa" w:w="80"/>
              <w:right w:type="dxa" w:w="200"/>
            </w:tcMar>
          </w:tcPr>
          <w:p>
            <w:pPr>
              <w:spacing w:after="40" w:before="40"/>
            </w:pPr>
            <w:r>
              <w:rPr>
                <w:rFonts w:ascii="Arial" w:cs="Arial" w:eastAsia="Arial" w:hAnsi="Arial"/>
                <w:b/>
                <w:bCs/>
                <w:i w:val="false"/>
                <w:iCs w:val="false"/>
                <w:color w:val="1B5E20"/>
                <w:sz w:val="17"/>
                <w:szCs w:val="17"/>
              </w:rPr>
              <w:t xml:space="preserve">CONFIRMED: 13 PROTOCOLS    </w:t>
            </w:r>
            <w:r>
              <w:rPr>
                <w:rFonts w:ascii="Arial" w:cs="Arial" w:eastAsia="Arial" w:hAnsi="Arial"/>
                <w:b w:val="false"/>
                <w:bCs w:val="false"/>
                <w:i w:val="false"/>
                <w:iCs w:val="false"/>
                <w:color w:val="1B5E20"/>
                <w:sz w:val="17"/>
                <w:szCs w:val="17"/>
              </w:rPr>
              <w:t xml:space="preserve">EtherNet/IP · PROFINET · PROFIBUS · EtherCAT · OPC-UA · Modbus TCP · Modbus RTU · DF1 · DH-485 · CIP Safety · S7 PUT/GET · MQTT · Sparkplug B</w:t>
            </w:r>
          </w:p>
        </w:tc>
      </w:tr>
    </w:tbl>
    <w:p>
      <w:pPr>
        <w:spacing w:after="0" w:before="120"/>
      </w:pPr>
      <w:r>
        <w:t xml:space="preserve"/>
      </w:r>
    </w:p>
    <w:p>
      <w:pPr>
        <w:spacing w:after="120" w:before="0" w:line="320"/>
      </w:pPr>
      <w:r>
        <w:rPr>
          <w:rFonts w:ascii="Arial" w:cs="Arial" w:eastAsia="Arial" w:hAnsi="Arial"/>
          <w:b w:val="false"/>
          <w:bCs w:val="false"/>
          <w:i/>
          <w:iCs/>
          <w:color w:val="445566"/>
          <w:sz w:val="19"/>
          <w:szCs w:val="19"/>
        </w:rPr>
        <w:t xml:space="preserve">PROFIsafe removed — F-DI module removed from ET200SP, requires safety PLC. Red Lion G310 removed. CAN/CANopen present on Wago hardware but not used. DH-485 requires RS-232 splitter (~$20) — confirmed worth sourcing. S7 PUT/GET confirmed active between both S7-1200 units.</w:t>
      </w:r>
    </w:p>
    <w:p>
      <w:pPr>
        <w:spacing w:after="0" w:before="40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F3864" w:val="clear"/>
            <w:tcMar>
              <w:top w:type="dxa" w:w="100"/>
              <w:left w:type="dxa" w:w="240"/>
              <w:bottom w:type="dxa" w:w="100"/>
              <w:right w:type="dxa" w:w="240"/>
            </w:tcMar>
          </w:tcPr>
          <w:p>
            <w:pPr>
              <w:spacing w:after="60" w:before="60"/>
            </w:pPr>
            <w:r>
              <w:rPr>
                <w:rFonts w:ascii="Arial" w:cs="Arial" w:eastAsia="Arial" w:hAnsi="Arial"/>
                <w:b/>
                <w:bCs/>
                <w:i w:val="false"/>
                <w:iCs w:val="false"/>
                <w:color w:val="00ACC1"/>
                <w:sz w:val="22"/>
                <w:szCs w:val="22"/>
              </w:rPr>
              <w:t xml:space="preserve">3.  </w:t>
            </w:r>
            <w:r>
              <w:rPr>
                <w:rFonts w:ascii="Arial" w:cs="Arial" w:eastAsia="Arial" w:hAnsi="Arial"/>
                <w:b/>
                <w:bCs/>
                <w:i w:val="false"/>
                <w:iCs w:val="false"/>
                <w:color w:val="FFFFFF"/>
                <w:sz w:val="22"/>
                <w:szCs w:val="22"/>
              </w:rPr>
              <w:t xml:space="preserve">OPEN DOCUMENT REVISIONS</w:t>
            </w:r>
          </w:p>
        </w:tc>
      </w:tr>
    </w:tbl>
    <w:p>
      <w:pPr>
        <w:spacing w:after="0" w:before="200"/>
      </w:pPr>
      <w:r>
        <w:t xml:space="preserve"/>
      </w:r>
    </w:p>
    <w:p>
      <w:pPr>
        <w:spacing w:after="120" w:before="0" w:line="320"/>
      </w:pPr>
      <w:r>
        <w:rPr>
          <w:rFonts w:ascii="Arial" w:cs="Arial" w:eastAsia="Arial" w:hAnsi="Arial"/>
          <w:b w:val="false"/>
          <w:bCs w:val="false"/>
          <w:i w:val="false"/>
          <w:iCs w:val="false"/>
          <w:color w:val="1A1A1A"/>
          <w:sz w:val="19"/>
          <w:szCs w:val="19"/>
        </w:rPr>
        <w:t xml:space="preserve">Documents listed below have confirmed changes that have not yet been applied. Revisions are deferred until a natural consolidation point.</w:t>
      </w:r>
    </w:p>
    <w:p>
      <w:pPr>
        <w:spacing w:after="0" w:before="14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600"/>
        <w:gridCol w:w="800"/>
        <w:gridCol w:w="5960"/>
      </w:tblGrid>
      <w:tr>
        <w:tc>
          <w:tcPr>
            <w:tcW w:type="dxa" w:w="2600"/>
            <w:tcBorders>
              <w:top w:val="single" w:color="CCCCCC" w:sz="1"/>
              <w:left w:val="single" w:color="CCCCCC" w:sz="1"/>
              <w:bottom w:val="single" w:color="CCCCCC" w:sz="1"/>
              <w:right w:val="single" w:color="CCCCCC" w:sz="1"/>
            </w:tcBorders>
            <w:shd w:fill="2E5FAB" w:val="clear"/>
            <w:tcMar>
              <w:top w:type="dxa" w:w="80"/>
              <w:left w:type="dxa" w:w="140"/>
              <w:bottom w:type="dxa" w:w="80"/>
              <w:right w:type="dxa" w:w="100"/>
            </w:tcMar>
          </w:tcPr>
          <w:p>
            <w:r>
              <w:rPr>
                <w:rFonts w:ascii="Arial" w:cs="Arial" w:eastAsia="Arial" w:hAnsi="Arial"/>
                <w:b/>
                <w:bCs/>
                <w:i w:val="false"/>
                <w:iCs w:val="false"/>
                <w:color w:val="FFFFFF"/>
                <w:sz w:val="17"/>
                <w:szCs w:val="17"/>
              </w:rPr>
              <w:t xml:space="preserve">Document</w:t>
            </w:r>
          </w:p>
        </w:tc>
        <w:tc>
          <w:tcPr>
            <w:tcW w:type="dxa" w:w="800"/>
            <w:tcBorders>
              <w:top w:val="single" w:color="CCCCCC" w:sz="1"/>
              <w:left w:val="single" w:color="CCCCCC" w:sz="1"/>
              <w:bottom w:val="single" w:color="CCCCCC" w:sz="1"/>
              <w:right w:val="single" w:color="CCCCCC" w:sz="1"/>
            </w:tcBorders>
            <w:shd w:fill="2E5FAB" w:val="clear"/>
            <w:tcMar>
              <w:top w:type="dxa" w:w="80"/>
              <w:left w:type="dxa" w:w="140"/>
              <w:bottom w:type="dxa" w:w="80"/>
              <w:right w:type="dxa" w:w="100"/>
            </w:tcMar>
          </w:tcPr>
          <w:p>
            <w:r>
              <w:rPr>
                <w:rFonts w:ascii="Arial" w:cs="Arial" w:eastAsia="Arial" w:hAnsi="Arial"/>
                <w:b/>
                <w:bCs/>
                <w:i w:val="false"/>
                <w:iCs w:val="false"/>
                <w:color w:val="FFFFFF"/>
                <w:sz w:val="17"/>
                <w:szCs w:val="17"/>
              </w:rPr>
              <w:t xml:space="preserve">Target Rev</w:t>
            </w:r>
          </w:p>
        </w:tc>
        <w:tc>
          <w:tcPr>
            <w:tcW w:type="dxa" w:w="5960"/>
            <w:tcBorders>
              <w:top w:val="single" w:color="CCCCCC" w:sz="1"/>
              <w:left w:val="single" w:color="CCCCCC" w:sz="1"/>
              <w:bottom w:val="single" w:color="CCCCCC" w:sz="1"/>
              <w:right w:val="single" w:color="CCCCCC" w:sz="1"/>
            </w:tcBorders>
            <w:shd w:fill="2E5FAB" w:val="clear"/>
            <w:tcMar>
              <w:top w:type="dxa" w:w="80"/>
              <w:left w:type="dxa" w:w="140"/>
              <w:bottom w:type="dxa" w:w="80"/>
              <w:right w:type="dxa" w:w="100"/>
            </w:tcMar>
          </w:tcPr>
          <w:p>
            <w:r>
              <w:rPr>
                <w:rFonts w:ascii="Arial" w:cs="Arial" w:eastAsia="Arial" w:hAnsi="Arial"/>
                <w:b/>
                <w:bCs/>
                <w:i w:val="false"/>
                <w:iCs w:val="false"/>
                <w:color w:val="FFFFFF"/>
                <w:sz w:val="17"/>
                <w:szCs w:val="17"/>
              </w:rPr>
              <w:t xml:space="preserve">Changes Required</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bCs/>
                <w:i w:val="false"/>
                <w:iCs w:val="false"/>
                <w:color w:val="1F3864"/>
                <w:sz w:val="17"/>
                <w:szCs w:val="17"/>
              </w:rPr>
              <w:t xml:space="preserve">IIoT Data Layer Architecture</w:t>
            </w:r>
          </w:p>
        </w:tc>
        <w:tc>
          <w:tcPr>
            <w:tcW w:type="dxa" w:w="8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80"/>
            </w:tcMar>
          </w:tcPr>
          <w:p>
            <w:pPr>
              <w:jc w:val="center"/>
            </w:pPr>
            <w:r>
              <w:rPr>
                <w:rFonts w:ascii="Arial" w:cs="Arial" w:eastAsia="Arial" w:hAnsi="Arial"/>
                <w:b/>
                <w:bCs/>
                <w:i w:val="false"/>
                <w:iCs w:val="false"/>
                <w:color w:val="E65100"/>
                <w:sz w:val="17"/>
                <w:szCs w:val="17"/>
              </w:rPr>
              <w:t xml:space="preserve">Rev 0.3</w:t>
            </w:r>
          </w:p>
        </w:tc>
        <w:tc>
          <w:tcPr>
            <w:tcW w:type="dxa" w:w="59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Remove Industrial PC — replace with AOOSTAR NAS / Proxmox throughout. EPIC location — operator panel rack. Add Telegraf. Update network config.</w:t>
            </w:r>
          </w:p>
        </w:tc>
      </w:tr>
      <w:tr>
        <w:tc>
          <w:tcPr>
            <w:tcW w:type="dxa" w:w="26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bCs/>
                <w:i w:val="false"/>
                <w:iCs w:val="false"/>
                <w:color w:val="1F3864"/>
                <w:sz w:val="17"/>
                <w:szCs w:val="17"/>
              </w:rPr>
              <w:t xml:space="preserve">IIoT Architecture Decision Record</w:t>
            </w:r>
          </w:p>
        </w:tc>
        <w:tc>
          <w:tcPr>
            <w:tcW w:type="dxa" w:w="800"/>
            <w:tcBorders>
              <w:top w:val="single" w:color="CCCCCC" w:sz="1"/>
              <w:left w:val="single" w:color="CCCCCC" w:sz="1"/>
              <w:bottom w:val="single" w:color="CCCCCC" w:sz="1"/>
              <w:right w:val="single" w:color="CCCCCC" w:sz="1"/>
            </w:tcBorders>
            <w:shd w:fill="F5F7FA" w:val="clear"/>
            <w:tcMar>
              <w:top w:type="dxa" w:w="80"/>
              <w:left w:type="dxa" w:w="100"/>
              <w:bottom w:type="dxa" w:w="80"/>
              <w:right w:type="dxa" w:w="80"/>
            </w:tcMar>
          </w:tcPr>
          <w:p>
            <w:pPr>
              <w:jc w:val="center"/>
            </w:pPr>
            <w:r>
              <w:rPr>
                <w:rFonts w:ascii="Arial" w:cs="Arial" w:eastAsia="Arial" w:hAnsi="Arial"/>
                <w:b/>
                <w:bCs/>
                <w:i w:val="false"/>
                <w:iCs w:val="false"/>
                <w:color w:val="E65100"/>
                <w:sz w:val="17"/>
                <w:szCs w:val="17"/>
              </w:rPr>
              <w:t xml:space="preserve">Rev 0.2</w:t>
            </w:r>
          </w:p>
        </w:tc>
        <w:tc>
          <w:tcPr>
            <w:tcW w:type="dxa" w:w="596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Update deployment targets — IPC → AOOSTAR NAS. Add new ADR — EPIC relocation. Add NAS platform selection ADR.</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bCs/>
                <w:i w:val="false"/>
                <w:iCs w:val="false"/>
                <w:color w:val="1F3864"/>
                <w:sz w:val="17"/>
                <w:szCs w:val="17"/>
              </w:rPr>
              <w:t xml:space="preserve">UNS Architecture Diagram</w:t>
            </w:r>
          </w:p>
        </w:tc>
        <w:tc>
          <w:tcPr>
            <w:tcW w:type="dxa" w:w="8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80"/>
            </w:tcMar>
          </w:tcPr>
          <w:p>
            <w:pPr>
              <w:jc w:val="center"/>
            </w:pPr>
            <w:r>
              <w:rPr>
                <w:rFonts w:ascii="Arial" w:cs="Arial" w:eastAsia="Arial" w:hAnsi="Arial"/>
                <w:b/>
                <w:bCs/>
                <w:i w:val="false"/>
                <w:iCs w:val="false"/>
                <w:color w:val="E65100"/>
                <w:sz w:val="17"/>
                <w:szCs w:val="17"/>
              </w:rPr>
              <w:t xml:space="preserve">New version</w:t>
            </w:r>
          </w:p>
        </w:tc>
        <w:tc>
          <w:tcPr>
            <w:tcW w:type="dxa" w:w="59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Relabel IPC nodes → AOOSTAR NAS / Proxmox LXC. EPIC node — operator panel rack location. Export updated PDF.</w:t>
            </w:r>
          </w:p>
        </w:tc>
      </w:tr>
      <w:tr>
        <w:tc>
          <w:tcPr>
            <w:tcW w:type="dxa" w:w="26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bCs/>
                <w:i w:val="false"/>
                <w:iCs w:val="false"/>
                <w:color w:val="1F3864"/>
                <w:sz w:val="17"/>
                <w:szCs w:val="17"/>
              </w:rPr>
              <w:t xml:space="preserve">Rack Hardware Register</w:t>
            </w:r>
          </w:p>
        </w:tc>
        <w:tc>
          <w:tcPr>
            <w:tcW w:type="dxa" w:w="800"/>
            <w:tcBorders>
              <w:top w:val="single" w:color="CCCCCC" w:sz="1"/>
              <w:left w:val="single" w:color="CCCCCC" w:sz="1"/>
              <w:bottom w:val="single" w:color="CCCCCC" w:sz="1"/>
              <w:right w:val="single" w:color="CCCCCC" w:sz="1"/>
            </w:tcBorders>
            <w:shd w:fill="F5F7FA" w:val="clear"/>
            <w:tcMar>
              <w:top w:type="dxa" w:w="80"/>
              <w:left w:type="dxa" w:w="100"/>
              <w:bottom w:type="dxa" w:w="80"/>
              <w:right w:type="dxa" w:w="80"/>
            </w:tcMar>
          </w:tcPr>
          <w:p>
            <w:pPr>
              <w:jc w:val="center"/>
            </w:pPr>
            <w:r>
              <w:rPr>
                <w:rFonts w:ascii="Arial" w:cs="Arial" w:eastAsia="Arial" w:hAnsi="Arial"/>
                <w:b/>
                <w:bCs/>
                <w:i w:val="false"/>
                <w:iCs w:val="false"/>
                <w:color w:val="E65100"/>
                <w:sz w:val="17"/>
                <w:szCs w:val="17"/>
              </w:rPr>
              <w:t xml:space="preserve">Next rev</w:t>
            </w:r>
          </w:p>
        </w:tc>
        <w:tc>
          <w:tcPr>
            <w:tcW w:type="dxa" w:w="596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Remove Industrial PC. Add AOOSTAR NAS. Remove EPIC from 42U rack. Add operator panel rack asset. Add PowerFlex 525. Remove two PowerFlex 4 units (eBay).</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bCs/>
                <w:i w:val="false"/>
                <w:iCs w:val="false"/>
                <w:color w:val="1F3864"/>
                <w:sz w:val="17"/>
                <w:szCs w:val="17"/>
              </w:rPr>
              <w:t xml:space="preserve">IO-Link Pump Module Concept</w:t>
            </w:r>
          </w:p>
        </w:tc>
        <w:tc>
          <w:tcPr>
            <w:tcW w:type="dxa" w:w="8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80"/>
            </w:tcMar>
          </w:tcPr>
          <w:p>
            <w:pPr>
              <w:jc w:val="center"/>
            </w:pPr>
            <w:r>
              <w:rPr>
                <w:rFonts w:ascii="Arial" w:cs="Arial" w:eastAsia="Arial" w:hAnsi="Arial"/>
                <w:b/>
                <w:bCs/>
                <w:i w:val="false"/>
                <w:iCs w:val="false"/>
                <w:color w:val="E65100"/>
                <w:sz w:val="17"/>
                <w:szCs w:val="17"/>
              </w:rPr>
              <w:t xml:space="preserve">Rev 0.3</w:t>
            </w:r>
          </w:p>
        </w:tc>
        <w:tc>
          <w:tcPr>
            <w:tcW w:type="dxa" w:w="59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EPIC physical location → operator panel rack. Pump module in operator panel rack. PowerFlex 525 as VFD. Rotary vane pump specified. Add UNS extensibility demonstration note.</w:t>
            </w:r>
          </w:p>
        </w:tc>
      </w:tr>
      <w:tr>
        <w:tc>
          <w:tcPr>
            <w:tcW w:type="dxa" w:w="26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bCs/>
                <w:i w:val="false"/>
                <w:iCs w:val="false"/>
                <w:color w:val="1F3864"/>
                <w:sz w:val="17"/>
                <w:szCs w:val="17"/>
              </w:rPr>
              <w:t xml:space="preserve">Company Profile</w:t>
            </w:r>
          </w:p>
        </w:tc>
        <w:tc>
          <w:tcPr>
            <w:tcW w:type="dxa" w:w="800"/>
            <w:tcBorders>
              <w:top w:val="single" w:color="CCCCCC" w:sz="1"/>
              <w:left w:val="single" w:color="CCCCCC" w:sz="1"/>
              <w:bottom w:val="single" w:color="CCCCCC" w:sz="1"/>
              <w:right w:val="single" w:color="CCCCCC" w:sz="1"/>
            </w:tcBorders>
            <w:shd w:fill="F5F7FA" w:val="clear"/>
            <w:tcMar>
              <w:top w:type="dxa" w:w="80"/>
              <w:left w:type="dxa" w:w="100"/>
              <w:bottom w:type="dxa" w:w="80"/>
              <w:right w:type="dxa" w:w="80"/>
            </w:tcMar>
          </w:tcPr>
          <w:p>
            <w:pPr>
              <w:jc w:val="center"/>
            </w:pPr>
            <w:r>
              <w:rPr>
                <w:rFonts w:ascii="Arial" w:cs="Arial" w:eastAsia="Arial" w:hAnsi="Arial"/>
                <w:b/>
                <w:bCs/>
                <w:i w:val="false"/>
                <w:iCs w:val="false"/>
                <w:color w:val="E65100"/>
                <w:sz w:val="17"/>
                <w:szCs w:val="17"/>
              </w:rPr>
              <w:t xml:space="preserve">Rev 1.1</w:t>
            </w:r>
          </w:p>
        </w:tc>
        <w:tc>
          <w:tcPr>
            <w:tcW w:type="dxa" w:w="596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Protocol count 14 → 13. Update date. Add MQTT and Sparkplug B to protocols list. Add IO-Link.</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bCs/>
                <w:i w:val="false"/>
                <w:iCs w:val="false"/>
                <w:color w:val="1F3864"/>
                <w:sz w:val="17"/>
                <w:szCs w:val="17"/>
              </w:rPr>
              <w:t xml:space="preserve">Capabilities Document</w:t>
            </w:r>
          </w:p>
        </w:tc>
        <w:tc>
          <w:tcPr>
            <w:tcW w:type="dxa" w:w="8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80"/>
            </w:tcMar>
          </w:tcPr>
          <w:p>
            <w:pPr>
              <w:jc w:val="center"/>
            </w:pPr>
            <w:r>
              <w:rPr>
                <w:rFonts w:ascii="Arial" w:cs="Arial" w:eastAsia="Arial" w:hAnsi="Arial"/>
                <w:b/>
                <w:bCs/>
                <w:i w:val="false"/>
                <w:iCs w:val="false"/>
                <w:color w:val="E65100"/>
                <w:sz w:val="17"/>
                <w:szCs w:val="17"/>
              </w:rPr>
              <w:t xml:space="preserve">Rev 1.1</w:t>
            </w:r>
          </w:p>
        </w:tc>
        <w:tc>
          <w:tcPr>
            <w:tcW w:type="dxa" w:w="59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32U → 42U rack. Remove Red Lion G310. Remove PROFIsafe. Protocol count 14 → 13. Add operator panel rack. Update IIoT stack — add Telegraf. TIA Portal V19 → V21.</w:t>
            </w:r>
          </w:p>
        </w:tc>
      </w:tr>
      <w:tr>
        <w:tc>
          <w:tcPr>
            <w:tcW w:type="dxa" w:w="26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bCs/>
                <w:i w:val="false"/>
                <w:iCs w:val="false"/>
                <w:color w:val="1F3864"/>
                <w:sz w:val="17"/>
                <w:szCs w:val="17"/>
              </w:rPr>
              <w:t xml:space="preserve">NAS Implementation</w:t>
            </w:r>
          </w:p>
        </w:tc>
        <w:tc>
          <w:tcPr>
            <w:tcW w:type="dxa" w:w="800"/>
            <w:tcBorders>
              <w:top w:val="single" w:color="CCCCCC" w:sz="1"/>
              <w:left w:val="single" w:color="CCCCCC" w:sz="1"/>
              <w:bottom w:val="single" w:color="CCCCCC" w:sz="1"/>
              <w:right w:val="single" w:color="CCCCCC" w:sz="1"/>
            </w:tcBorders>
            <w:shd w:fill="F5F7FA" w:val="clear"/>
            <w:tcMar>
              <w:top w:type="dxa" w:w="80"/>
              <w:left w:type="dxa" w:w="100"/>
              <w:bottom w:type="dxa" w:w="80"/>
              <w:right w:type="dxa" w:w="80"/>
            </w:tcMar>
          </w:tcPr>
          <w:p>
            <w:pPr>
              <w:jc w:val="center"/>
            </w:pPr>
            <w:r>
              <w:rPr>
                <w:rFonts w:ascii="Arial" w:cs="Arial" w:eastAsia="Arial" w:hAnsi="Arial"/>
                <w:b/>
                <w:bCs/>
                <w:i w:val="false"/>
                <w:iCs w:val="false"/>
                <w:color w:val="E65100"/>
                <w:sz w:val="17"/>
                <w:szCs w:val="17"/>
              </w:rPr>
              <w:t xml:space="preserve">Rev 0.2</w:t>
            </w:r>
          </w:p>
        </w:tc>
        <w:tc>
          <w:tcPr>
            <w:tcW w:type="dxa" w:w="596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Confirm Proxmox LXC as deployment method. Close IPC role item. Add commissioned IP addresses when deployed. Note EPIC relocation.</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bCs/>
                <w:i w:val="false"/>
                <w:iCs w:val="false"/>
                <w:color w:val="1F3864"/>
                <w:sz w:val="17"/>
                <w:szCs w:val="17"/>
              </w:rPr>
              <w:t xml:space="preserve">Pi Broker Config</w:t>
            </w:r>
          </w:p>
        </w:tc>
        <w:tc>
          <w:tcPr>
            <w:tcW w:type="dxa" w:w="8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80"/>
            </w:tcMar>
          </w:tcPr>
          <w:p>
            <w:pPr>
              <w:jc w:val="center"/>
            </w:pPr>
            <w:r>
              <w:rPr>
                <w:rFonts w:ascii="Arial" w:cs="Arial" w:eastAsia="Arial" w:hAnsi="Arial"/>
                <w:b/>
                <w:bCs/>
                <w:i w:val="false"/>
                <w:iCs w:val="false"/>
                <w:color w:val="E65100"/>
                <w:sz w:val="17"/>
                <w:szCs w:val="17"/>
              </w:rPr>
              <w:t xml:space="preserve">Rev 0.4</w:t>
            </w:r>
          </w:p>
        </w:tc>
        <w:tc>
          <w:tcPr>
            <w:tcW w:type="dxa" w:w="59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Pending — wired ethernet and static IP. Note Telegraf connects from NAS.</w:t>
            </w:r>
          </w:p>
        </w:tc>
      </w:tr>
    </w:tbl>
    <w:p>
      <w:pPr>
        <w:spacing w:after="0" w:before="40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F3864" w:val="clear"/>
            <w:tcMar>
              <w:top w:type="dxa" w:w="100"/>
              <w:left w:type="dxa" w:w="240"/>
              <w:bottom w:type="dxa" w:w="100"/>
              <w:right w:type="dxa" w:w="240"/>
            </w:tcMar>
          </w:tcPr>
          <w:p>
            <w:pPr>
              <w:spacing w:after="60" w:before="60"/>
            </w:pPr>
            <w:r>
              <w:rPr>
                <w:rFonts w:ascii="Arial" w:cs="Arial" w:eastAsia="Arial" w:hAnsi="Arial"/>
                <w:b/>
                <w:bCs/>
                <w:i w:val="false"/>
                <w:iCs w:val="false"/>
                <w:color w:val="00ACC1"/>
                <w:sz w:val="22"/>
                <w:szCs w:val="22"/>
              </w:rPr>
              <w:t xml:space="preserve">4.  </w:t>
            </w:r>
            <w:r>
              <w:rPr>
                <w:rFonts w:ascii="Arial" w:cs="Arial" w:eastAsia="Arial" w:hAnsi="Arial"/>
                <w:b/>
                <w:bCs/>
                <w:i w:val="false"/>
                <w:iCs w:val="false"/>
                <w:color w:val="FFFFFF"/>
                <w:sz w:val="22"/>
                <w:szCs w:val="22"/>
              </w:rPr>
              <w:t xml:space="preserve">PENDING ARCHITECTURAL DECISIONS</w:t>
            </w:r>
          </w:p>
        </w:tc>
      </w:tr>
    </w:tbl>
    <w:p>
      <w:pPr>
        <w:spacing w:after="0" w:before="200"/>
      </w:pPr>
      <w:r>
        <w:t xml:space="preserve"/>
      </w:r>
    </w:p>
    <w:p>
      <w:pPr>
        <w:spacing w:after="120" w:before="0" w:line="320"/>
      </w:pPr>
      <w:r>
        <w:rPr>
          <w:rFonts w:ascii="Arial" w:cs="Arial" w:eastAsia="Arial" w:hAnsi="Arial"/>
          <w:b w:val="false"/>
          <w:bCs w:val="false"/>
          <w:i w:val="false"/>
          <w:iCs w:val="false"/>
          <w:color w:val="1A1A1A"/>
          <w:sz w:val="19"/>
          <w:szCs w:val="19"/>
        </w:rPr>
        <w:t xml:space="preserve">Decisions made in working sessions that are confirmed but not yet reflected in formal documents. These are authoritative — they supersede older document content.</w:t>
      </w:r>
    </w:p>
    <w:p>
      <w:pPr>
        <w:spacing w:after="0" w:before="14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400"/>
        <w:gridCol w:w="5760"/>
        <w:gridCol w:w="2200"/>
      </w:tblGrid>
      <w:tr>
        <w:tc>
          <w:tcPr>
            <w:tcW w:type="dxa" w:w="1400"/>
            <w:tcBorders>
              <w:top w:val="single" w:color="CCCCCC" w:sz="1"/>
              <w:left w:val="single" w:color="CCCCCC" w:sz="1"/>
              <w:bottom w:val="single" w:color="CCCCCC" w:sz="1"/>
              <w:right w:val="single" w:color="CCCCCC" w:sz="1"/>
            </w:tcBorders>
            <w:shd w:fill="2E5FAB" w:val="clear"/>
            <w:tcMar>
              <w:top w:type="dxa" w:w="80"/>
              <w:left w:type="dxa" w:w="140"/>
              <w:bottom w:type="dxa" w:w="80"/>
              <w:right w:type="dxa" w:w="100"/>
            </w:tcMar>
          </w:tcPr>
          <w:p>
            <w:r>
              <w:rPr>
                <w:rFonts w:ascii="Arial" w:cs="Arial" w:eastAsia="Arial" w:hAnsi="Arial"/>
                <w:b/>
                <w:bCs/>
                <w:i w:val="false"/>
                <w:iCs w:val="false"/>
                <w:color w:val="FFFFFF"/>
                <w:sz w:val="17"/>
                <w:szCs w:val="17"/>
              </w:rPr>
              <w:t xml:space="preserve">Date</w:t>
            </w:r>
          </w:p>
        </w:tc>
        <w:tc>
          <w:tcPr>
            <w:tcW w:type="dxa" w:w="5760"/>
            <w:tcBorders>
              <w:top w:val="single" w:color="CCCCCC" w:sz="1"/>
              <w:left w:val="single" w:color="CCCCCC" w:sz="1"/>
              <w:bottom w:val="single" w:color="CCCCCC" w:sz="1"/>
              <w:right w:val="single" w:color="CCCCCC" w:sz="1"/>
            </w:tcBorders>
            <w:shd w:fill="2E5FAB" w:val="clear"/>
            <w:tcMar>
              <w:top w:type="dxa" w:w="80"/>
              <w:left w:type="dxa" w:w="140"/>
              <w:bottom w:type="dxa" w:w="80"/>
              <w:right w:type="dxa" w:w="100"/>
            </w:tcMar>
          </w:tcPr>
          <w:p>
            <w:r>
              <w:rPr>
                <w:rFonts w:ascii="Arial" w:cs="Arial" w:eastAsia="Arial" w:hAnsi="Arial"/>
                <w:b/>
                <w:bCs/>
                <w:i w:val="false"/>
                <w:iCs w:val="false"/>
                <w:color w:val="FFFFFF"/>
                <w:sz w:val="17"/>
                <w:szCs w:val="17"/>
              </w:rPr>
              <w:t xml:space="preserve">Decision</w:t>
            </w:r>
          </w:p>
        </w:tc>
        <w:tc>
          <w:tcPr>
            <w:tcW w:type="dxa" w:w="2200"/>
            <w:tcBorders>
              <w:top w:val="single" w:color="CCCCCC" w:sz="1"/>
              <w:left w:val="single" w:color="CCCCCC" w:sz="1"/>
              <w:bottom w:val="single" w:color="CCCCCC" w:sz="1"/>
              <w:right w:val="single" w:color="CCCCCC" w:sz="1"/>
            </w:tcBorders>
            <w:shd w:fill="2E5FAB" w:val="clear"/>
            <w:tcMar>
              <w:top w:type="dxa" w:w="80"/>
              <w:left w:type="dxa" w:w="140"/>
              <w:bottom w:type="dxa" w:w="80"/>
              <w:right w:type="dxa" w:w="100"/>
            </w:tcMar>
          </w:tcPr>
          <w:p>
            <w:r>
              <w:rPr>
                <w:rFonts w:ascii="Arial" w:cs="Arial" w:eastAsia="Arial" w:hAnsi="Arial"/>
                <w:b/>
                <w:bCs/>
                <w:i w:val="false"/>
                <w:iCs w:val="false"/>
                <w:color w:val="FFFFFF"/>
                <w:sz w:val="17"/>
                <w:szCs w:val="17"/>
              </w:rPr>
              <w:t xml:space="preserve">Status</w:t>
            </w:r>
          </w:p>
        </w:tc>
      </w:tr>
      <w:tr>
        <w:tc>
          <w:tcPr>
            <w:tcW w:type="dxa" w:w="14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80"/>
            </w:tcMar>
          </w:tcPr>
          <w:p>
            <w:r>
              <w:rPr>
                <w:rFonts w:ascii="Arial" w:cs="Arial" w:eastAsia="Arial" w:hAnsi="Arial"/>
                <w:b w:val="false"/>
                <w:bCs w:val="false"/>
                <w:i w:val="false"/>
                <w:iCs w:val="false"/>
                <w:color w:val="445566"/>
                <w:sz w:val="17"/>
                <w:szCs w:val="17"/>
              </w:rPr>
              <w:t xml:space="preserve">April 2026</w:t>
            </w:r>
          </w:p>
        </w:tc>
        <w:tc>
          <w:tcPr>
            <w:tcW w:type="dxa" w:w="576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Industrial PC removed from rack entirely — repurposed for home use. AOOSTAR NAS / Proxmox replaces IPC as IIoT stack host.</w:t>
            </w:r>
          </w:p>
        </w:tc>
        <w:tc>
          <w:tcPr>
            <w:tcW w:type="dxa" w:w="22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iCs/>
                <w:color w:val="445566"/>
                <w:sz w:val="17"/>
                <w:szCs w:val="17"/>
              </w:rPr>
              <w:t xml:space="preserve">Pending doc update</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b w:val="false"/>
                <w:bCs w:val="false"/>
                <w:i w:val="false"/>
                <w:iCs w:val="false"/>
                <w:color w:val="445566"/>
                <w:sz w:val="17"/>
                <w:szCs w:val="17"/>
              </w:rPr>
              <w:t xml:space="preserve">April 2026</w:t>
            </w:r>
          </w:p>
        </w:tc>
        <w:tc>
          <w:tcPr>
            <w:tcW w:type="dxa" w:w="5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groov EPIC-PR1 relocates from 42U rack to operator panel rack. Logical role in data architecture unchanged.</w:t>
            </w:r>
          </w:p>
        </w:tc>
        <w:tc>
          <w:tcPr>
            <w:tcW w:type="dxa" w:w="2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iCs/>
                <w:color w:val="445566"/>
                <w:sz w:val="17"/>
                <w:szCs w:val="17"/>
              </w:rPr>
              <w:t xml:space="preserve">Pending doc update</w:t>
            </w:r>
          </w:p>
        </w:tc>
      </w:tr>
      <w:tr>
        <w:tc>
          <w:tcPr>
            <w:tcW w:type="dxa" w:w="14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80"/>
            </w:tcMar>
          </w:tcPr>
          <w:p>
            <w:r>
              <w:rPr>
                <w:rFonts w:ascii="Arial" w:cs="Arial" w:eastAsia="Arial" w:hAnsi="Arial"/>
                <w:b w:val="false"/>
                <w:bCs w:val="false"/>
                <w:i w:val="false"/>
                <w:iCs w:val="false"/>
                <w:color w:val="445566"/>
                <w:sz w:val="17"/>
                <w:szCs w:val="17"/>
              </w:rPr>
              <w:t xml:space="preserve">April 2026</w:t>
            </w:r>
          </w:p>
        </w:tc>
        <w:tc>
          <w:tcPr>
            <w:tcW w:type="dxa" w:w="576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Operator panel rack — 20U or 24U — mobile demonstration unit. Houses EPIC, PanelView 800, TBD 10" HMI, physical operator I/O, PowerFlex 525 VFD, IFM AL1590, pump module, IO-Link sensors.</w:t>
            </w:r>
          </w:p>
        </w:tc>
        <w:tc>
          <w:tcPr>
            <w:tcW w:type="dxa" w:w="22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iCs/>
                <w:color w:val="445566"/>
                <w:sz w:val="17"/>
                <w:szCs w:val="17"/>
              </w:rPr>
              <w:t xml:space="preserve">Hardware TBD</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b w:val="false"/>
                <w:bCs w:val="false"/>
                <w:i w:val="false"/>
                <w:iCs w:val="false"/>
                <w:color w:val="445566"/>
                <w:sz w:val="17"/>
                <w:szCs w:val="17"/>
              </w:rPr>
              <w:t xml:space="preserve">April 2026</w:t>
            </w:r>
          </w:p>
        </w:tc>
        <w:tc>
          <w:tcPr>
            <w:tcW w:type="dxa" w:w="5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Operator panel rack demonstrates UNS extensibility — new equipment added to fully operational system without reconfiguring existing data architecture.</w:t>
            </w:r>
          </w:p>
        </w:tc>
        <w:tc>
          <w:tcPr>
            <w:tcW w:type="dxa" w:w="2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iCs/>
                <w:color w:val="445566"/>
                <w:sz w:val="17"/>
                <w:szCs w:val="17"/>
              </w:rPr>
              <w:t xml:space="preserve">Pending doc update</w:t>
            </w:r>
          </w:p>
        </w:tc>
      </w:tr>
      <w:tr>
        <w:tc>
          <w:tcPr>
            <w:tcW w:type="dxa" w:w="14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80"/>
            </w:tcMar>
          </w:tcPr>
          <w:p>
            <w:r>
              <w:rPr>
                <w:rFonts w:ascii="Arial" w:cs="Arial" w:eastAsia="Arial" w:hAnsi="Arial"/>
                <w:b w:val="false"/>
                <w:bCs w:val="false"/>
                <w:i w:val="false"/>
                <w:iCs w:val="false"/>
                <w:color w:val="445566"/>
                <w:sz w:val="17"/>
                <w:szCs w:val="17"/>
              </w:rPr>
              <w:t xml:space="preserve">April 2026</w:t>
            </w:r>
          </w:p>
        </w:tc>
        <w:tc>
          <w:tcPr>
            <w:tcW w:type="dxa" w:w="576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PowerFlex 4 ×1 confirmed in 42U rack — Modbus RTU. PowerFlex 525 ×1 in operator panel rack — EtherNet/IP — 0.5HP pump motor. Two PowerFlex 4 units listed on eBay — $400-500 recovery expected.</w:t>
            </w:r>
          </w:p>
        </w:tc>
        <w:tc>
          <w:tcPr>
            <w:tcW w:type="dxa" w:w="22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iCs/>
                <w:color w:val="445566"/>
                <w:sz w:val="17"/>
                <w:szCs w:val="17"/>
              </w:rPr>
              <w:t xml:space="preserve">eBay pending</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b w:val="false"/>
                <w:bCs w:val="false"/>
                <w:i w:val="false"/>
                <w:iCs w:val="false"/>
                <w:color w:val="445566"/>
                <w:sz w:val="17"/>
                <w:szCs w:val="17"/>
              </w:rPr>
              <w:t xml:space="preserve">April 2026</w:t>
            </w:r>
          </w:p>
        </w:tc>
        <w:tc>
          <w:tcPr>
            <w:tcW w:type="dxa" w:w="5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Protocol count confirmed at 13. PROFIsafe removed. Red Lion G310 removed. CAN/CANopen not used. DH-485 confirmed with RS-232 splitter (~$20). S7 PUT/GET confirmed active.</w:t>
            </w:r>
          </w:p>
        </w:tc>
        <w:tc>
          <w:tcPr>
            <w:tcW w:type="dxa" w:w="2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iCs/>
                <w:color w:val="445566"/>
                <w:sz w:val="17"/>
                <w:szCs w:val="17"/>
              </w:rPr>
              <w:t xml:space="preserve">Pending doc update</w:t>
            </w:r>
          </w:p>
        </w:tc>
      </w:tr>
      <w:tr>
        <w:tc>
          <w:tcPr>
            <w:tcW w:type="dxa" w:w="14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80"/>
            </w:tcMar>
          </w:tcPr>
          <w:p>
            <w:r>
              <w:rPr>
                <w:rFonts w:ascii="Arial" w:cs="Arial" w:eastAsia="Arial" w:hAnsi="Arial"/>
                <w:b w:val="false"/>
                <w:bCs w:val="false"/>
                <w:i w:val="false"/>
                <w:iCs w:val="false"/>
                <w:color w:val="445566"/>
                <w:sz w:val="17"/>
                <w:szCs w:val="17"/>
              </w:rPr>
              <w:t xml:space="preserve">April 2026</w:t>
            </w:r>
          </w:p>
        </w:tc>
        <w:tc>
          <w:tcPr>
            <w:tcW w:type="dxa" w:w="576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Phase 3 rack split concept removed. 42U rack stays intact — all PLCs, networking, Wago, broker, and drives remain. AOOSTAR NAS adjacent to rack. Phase 3 is operator panel rack build only.</w:t>
            </w:r>
          </w:p>
        </w:tc>
        <w:tc>
          <w:tcPr>
            <w:tcW w:type="dxa" w:w="22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iCs/>
                <w:color w:val="445566"/>
                <w:sz w:val="17"/>
                <w:szCs w:val="17"/>
              </w:rPr>
              <w:t xml:space="preserve">Pending doc update</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b w:val="false"/>
                <w:bCs w:val="false"/>
                <w:i w:val="false"/>
                <w:iCs w:val="false"/>
                <w:color w:val="445566"/>
                <w:sz w:val="17"/>
                <w:szCs w:val="17"/>
              </w:rPr>
              <w:t xml:space="preserve">April 2026</w:t>
            </w:r>
          </w:p>
        </w:tc>
        <w:tc>
          <w:tcPr>
            <w:tcW w:type="dxa" w:w="5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Remote access via Tailscale — not WireGuard port forwarding. No public IP exposure, no open ports on home router, no ransomware attack surface. Tailscale mesh — authenticated devices only.</w:t>
            </w:r>
          </w:p>
        </w:tc>
        <w:tc>
          <w:tcPr>
            <w:tcW w:type="dxa" w:w="2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iCs/>
                <w:color w:val="445566"/>
                <w:sz w:val="17"/>
                <w:szCs w:val="17"/>
              </w:rPr>
              <w:t xml:space="preserve">Pending doc update</w:t>
            </w:r>
          </w:p>
        </w:tc>
      </w:tr>
      <w:tr>
        <w:tc>
          <w:tcPr>
            <w:tcW w:type="dxa" w:w="14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80"/>
            </w:tcMar>
          </w:tcPr>
          <w:p>
            <w:r>
              <w:rPr>
                <w:rFonts w:ascii="Arial" w:cs="Arial" w:eastAsia="Arial" w:hAnsi="Arial"/>
                <w:b w:val="false"/>
                <w:bCs w:val="false"/>
                <w:i w:val="false"/>
                <w:iCs w:val="false"/>
                <w:color w:val="445566"/>
                <w:sz w:val="17"/>
                <w:szCs w:val="17"/>
              </w:rPr>
              <w:t xml:space="preserve">April 2026</w:t>
            </w:r>
          </w:p>
        </w:tc>
        <w:tc>
          <w:tcPr>
            <w:tcW w:type="dxa" w:w="576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Eight-phase gate structure confirmed — G0 through G7. Phase names locked. Gate criteria defined. See Section 9.</w:t>
            </w:r>
          </w:p>
        </w:tc>
        <w:tc>
          <w:tcPr>
            <w:tcW w:type="dxa" w:w="22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iCs/>
                <w:color w:val="445566"/>
                <w:sz w:val="17"/>
                <w:szCs w:val="17"/>
              </w:rPr>
              <w:t xml:space="preserve">Documented Section 9</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b w:val="false"/>
                <w:bCs w:val="false"/>
                <w:i w:val="false"/>
                <w:iCs w:val="false"/>
                <w:color w:val="445566"/>
                <w:sz w:val="17"/>
                <w:szCs w:val="17"/>
              </w:rPr>
              <w:t xml:space="preserve">April 2026</w:t>
            </w:r>
          </w:p>
        </w:tc>
        <w:tc>
          <w:tcPr>
            <w:tcW w:type="dxa" w:w="5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IFM AL1590 confirmed as IO-Link master — 8-port, OPC-UA/PROFINET/EtherNet/IP multiprotocol, integrated Node-RED. ~$300 used.</w:t>
            </w:r>
          </w:p>
        </w:tc>
        <w:tc>
          <w:tcPr>
            <w:tcW w:type="dxa" w:w="2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iCs/>
                <w:color w:val="445566"/>
                <w:sz w:val="17"/>
                <w:szCs w:val="17"/>
              </w:rPr>
              <w:t xml:space="preserve">Documented in IO-Link concept</w:t>
            </w:r>
          </w:p>
        </w:tc>
      </w:tr>
      <w:tr>
        <w:tc>
          <w:tcPr>
            <w:tcW w:type="dxa" w:w="14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80"/>
            </w:tcMar>
          </w:tcPr>
          <w:p>
            <w:r>
              <w:rPr>
                <w:rFonts w:ascii="Arial" w:cs="Arial" w:eastAsia="Arial" w:hAnsi="Arial"/>
                <w:b w:val="false"/>
                <w:bCs w:val="false"/>
                <w:i w:val="false"/>
                <w:iCs w:val="false"/>
                <w:color w:val="445566"/>
                <w:sz w:val="17"/>
                <w:szCs w:val="17"/>
              </w:rPr>
              <w:t xml:space="preserve">April 2026</w:t>
            </w:r>
          </w:p>
        </w:tc>
        <w:tc>
          <w:tcPr>
            <w:tcW w:type="dxa" w:w="576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LAN tap ordered — permanent install between Pi broker and Cisco switch.</w:t>
            </w:r>
          </w:p>
        </w:tc>
        <w:tc>
          <w:tcPr>
            <w:tcW w:type="dxa" w:w="22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iCs/>
                <w:color w:val="445566"/>
                <w:sz w:val="17"/>
                <w:szCs w:val="17"/>
              </w:rPr>
              <w:t xml:space="preserve">Hardware ordered</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b w:val="false"/>
                <w:bCs w:val="false"/>
                <w:i w:val="false"/>
                <w:iCs w:val="false"/>
                <w:color w:val="445566"/>
                <w:sz w:val="17"/>
                <w:szCs w:val="17"/>
              </w:rPr>
              <w:t xml:space="preserve">April 2026</w:t>
            </w:r>
          </w:p>
        </w:tc>
        <w:tc>
          <w:tcPr>
            <w:tcW w:type="dxa" w:w="5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Wago PFC200 v1 confirmed first generation — e!COCKPIT only. VM-based trial isolation approach confirmed.</w:t>
            </w:r>
          </w:p>
        </w:tc>
        <w:tc>
          <w:tcPr>
            <w:tcW w:type="dxa" w:w="2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iCs/>
                <w:color w:val="445566"/>
                <w:sz w:val="17"/>
                <w:szCs w:val="17"/>
              </w:rPr>
              <w:t xml:space="preserve">Confirmed</w:t>
            </w:r>
          </w:p>
        </w:tc>
      </w:tr>
      <w:tr>
        <w:tc>
          <w:tcPr>
            <w:tcW w:type="dxa" w:w="14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80"/>
            </w:tcMar>
          </w:tcPr>
          <w:p>
            <w:r>
              <w:rPr>
                <w:rFonts w:ascii="Arial" w:cs="Arial" w:eastAsia="Arial" w:hAnsi="Arial"/>
                <w:b w:val="false"/>
                <w:bCs w:val="false"/>
                <w:i w:val="false"/>
                <w:iCs w:val="false"/>
                <w:color w:val="445566"/>
                <w:sz w:val="17"/>
                <w:szCs w:val="17"/>
              </w:rPr>
              <w:t xml:space="preserve">April 2026</w:t>
            </w:r>
          </w:p>
        </w:tc>
        <w:tc>
          <w:tcPr>
            <w:tcW w:type="dxa" w:w="576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groov EPIC power supply — GRV-EPIC-PSPT requires 10-15VDC at 7.2-10A. Phoenix Contact DC/DC converter from 24VDC bus — 10A minimum.</w:t>
            </w:r>
          </w:p>
        </w:tc>
        <w:tc>
          <w:tcPr>
            <w:tcW w:type="dxa" w:w="22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iCs/>
                <w:color w:val="445566"/>
                <w:sz w:val="17"/>
                <w:szCs w:val="17"/>
              </w:rPr>
              <w:t xml:space="preserve">Procurement open</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b w:val="false"/>
                <w:bCs w:val="false"/>
                <w:i w:val="false"/>
                <w:iCs w:val="false"/>
                <w:color w:val="445566"/>
                <w:sz w:val="17"/>
                <w:szCs w:val="17"/>
              </w:rPr>
              <w:t xml:space="preserve">April 2026</w:t>
            </w:r>
          </w:p>
        </w:tc>
        <w:tc>
          <w:tcPr>
            <w:tcW w:type="dxa" w:w="5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TIA Portal V21 Basic — perpetual license purchased. LCCF_CipClient confirmed compatible with V21.</w:t>
            </w:r>
          </w:p>
        </w:tc>
        <w:tc>
          <w:tcPr>
            <w:tcW w:type="dxa" w:w="2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iCs/>
                <w:color w:val="445566"/>
                <w:sz w:val="17"/>
                <w:szCs w:val="17"/>
              </w:rPr>
              <w:t xml:space="preserve">Confirmed</w:t>
            </w:r>
          </w:p>
        </w:tc>
      </w:tr>
      <w:tr>
        <w:tc>
          <w:tcPr>
            <w:tcW w:type="dxa" w:w="14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80"/>
            </w:tcMar>
          </w:tcPr>
          <w:p>
            <w:r>
              <w:rPr>
                <w:rFonts w:ascii="Arial" w:cs="Arial" w:eastAsia="Arial" w:hAnsi="Arial"/>
                <w:b w:val="false"/>
                <w:bCs w:val="false"/>
                <w:i w:val="false"/>
                <w:iCs w:val="false"/>
                <w:color w:val="445566"/>
                <w:sz w:val="17"/>
                <w:szCs w:val="17"/>
              </w:rPr>
              <w:t xml:space="preserve">April 2026</w:t>
            </w:r>
          </w:p>
        </w:tc>
        <w:tc>
          <w:tcPr>
            <w:tcW w:type="dxa" w:w="576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SQL database planned on AOOSTAR NAS — MariaDB LXC container — for shift/schedule management, equipment master data, Site 1/Site 2 reconciliation. Not competing with PLC data layer.</w:t>
            </w:r>
          </w:p>
        </w:tc>
        <w:tc>
          <w:tcPr>
            <w:tcW w:type="dxa" w:w="22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iCs/>
                <w:color w:val="445566"/>
                <w:sz w:val="17"/>
                <w:szCs w:val="17"/>
              </w:rPr>
              <w:t xml:space="preserve">Planned Phase 2</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b w:val="false"/>
                <w:bCs w:val="false"/>
                <w:i w:val="false"/>
                <w:iCs w:val="false"/>
                <w:color w:val="445566"/>
                <w:sz w:val="17"/>
                <w:szCs w:val="17"/>
              </w:rPr>
              <w:t xml:space="preserve">April 2026</w:t>
            </w:r>
          </w:p>
        </w:tc>
        <w:tc>
          <w:tcPr>
            <w:tcW w:type="dxa" w:w="5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CrowPi kit (Pi 5 8GB, 9" touchscreen) — $300 — desktop HMI/tester/CODESYS soft PLC. Node-RED Dashboard as touchscreen HMI. Physical buttons supplement touchscreen. Connects to Cisco switch for PLC testing.</w:t>
            </w:r>
          </w:p>
        </w:tc>
        <w:tc>
          <w:tcPr>
            <w:tcW w:type="dxa" w:w="2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iCs/>
                <w:color w:val="445566"/>
                <w:sz w:val="17"/>
                <w:szCs w:val="17"/>
              </w:rPr>
              <w:t xml:space="preserve">Procurement planned</w:t>
            </w:r>
          </w:p>
        </w:tc>
      </w:tr>
      <w:tr>
        <w:tc>
          <w:tcPr>
            <w:tcW w:type="dxa" w:w="14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80"/>
            </w:tcMar>
          </w:tcPr>
          <w:p>
            <w:r>
              <w:rPr>
                <w:rFonts w:ascii="Arial" w:cs="Arial" w:eastAsia="Arial" w:hAnsi="Arial"/>
                <w:b w:val="false"/>
                <w:bCs w:val="false"/>
                <w:i w:val="false"/>
                <w:iCs w:val="false"/>
                <w:color w:val="445566"/>
                <w:sz w:val="17"/>
                <w:szCs w:val="17"/>
              </w:rPr>
              <w:t xml:space="preserve">April 2026</w:t>
            </w:r>
          </w:p>
        </w:tc>
        <w:tc>
          <w:tcPr>
            <w:tcW w:type="dxa" w:w="576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Rotary vane pump specified for operator panel rack pump module — tolerates full fault injection test matrix including flow restriction and near-deadhead conditions. 1/3HP motor on PowerFlex 525 VFD.</w:t>
            </w:r>
          </w:p>
        </w:tc>
        <w:tc>
          <w:tcPr>
            <w:tcW w:type="dxa" w:w="22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iCs/>
                <w:color w:val="445566"/>
                <w:sz w:val="17"/>
                <w:szCs w:val="17"/>
              </w:rPr>
              <w:t xml:space="preserve">Confirmed</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b w:val="false"/>
                <w:bCs w:val="false"/>
                <w:i w:val="false"/>
                <w:iCs w:val="false"/>
                <w:color w:val="445566"/>
                <w:sz w:val="17"/>
                <w:szCs w:val="17"/>
              </w:rPr>
              <w:t xml:space="preserve">April 22, 2026</w:t>
            </w:r>
          </w:p>
        </w:tc>
        <w:tc>
          <w:tcPr>
            <w:tcW w:type="dxa" w:w="5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Repository folder structure reorganized. 00_preface at root. 03_phase_gates added with g0-g7 subfolders. All folders renumbered 00-11. project_management remains unnumbered at root.</w:t>
            </w:r>
          </w:p>
        </w:tc>
        <w:tc>
          <w:tcPr>
            <w:tcW w:type="dxa" w:w="2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iCs/>
                <w:color w:val="445566"/>
                <w:sz w:val="17"/>
                <w:szCs w:val="17"/>
              </w:rPr>
              <w:t xml:space="preserve">Committed</w:t>
            </w:r>
          </w:p>
        </w:tc>
      </w:tr>
      <w:tr>
        <w:tc>
          <w:tcPr>
            <w:tcW w:type="dxa" w:w="14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80"/>
            </w:tcMar>
          </w:tcPr>
          <w:p>
            <w:r>
              <w:rPr>
                <w:rFonts w:ascii="Arial" w:cs="Arial" w:eastAsia="Arial" w:hAnsi="Arial"/>
                <w:b w:val="false"/>
                <w:bCs w:val="false"/>
                <w:i w:val="false"/>
                <w:iCs w:val="false"/>
                <w:color w:val="445566"/>
                <w:sz w:val="17"/>
                <w:szCs w:val="17"/>
              </w:rPr>
              <w:t xml:space="preserve">April 22, 2026</w:t>
            </w:r>
          </w:p>
        </w:tc>
        <w:tc>
          <w:tcPr>
            <w:tcW w:type="dxa" w:w="576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Gate entry documents created for all eight phases G0-G7 — per-phase lean documents with overview, criteria checklist, and sign-off record. Stored in 03_phase_gates/ subfolders.</w:t>
            </w:r>
          </w:p>
        </w:tc>
        <w:tc>
          <w:tcPr>
            <w:tcW w:type="dxa" w:w="22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iCs/>
                <w:color w:val="445566"/>
                <w:sz w:val="17"/>
                <w:szCs w:val="17"/>
              </w:rPr>
              <w:t xml:space="preserve">Committed</w:t>
            </w:r>
          </w:p>
        </w:tc>
      </w:tr>
    </w:tbl>
    <w:p>
      <w:pPr>
        <w:spacing w:after="0" w:before="40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F3864" w:val="clear"/>
            <w:tcMar>
              <w:top w:type="dxa" w:w="100"/>
              <w:left w:type="dxa" w:w="240"/>
              <w:bottom w:type="dxa" w:w="100"/>
              <w:right w:type="dxa" w:w="240"/>
            </w:tcMar>
          </w:tcPr>
          <w:p>
            <w:pPr>
              <w:spacing w:after="60" w:before="60"/>
            </w:pPr>
            <w:r>
              <w:rPr>
                <w:rFonts w:ascii="Arial" w:cs="Arial" w:eastAsia="Arial" w:hAnsi="Arial"/>
                <w:b/>
                <w:bCs/>
                <w:i w:val="false"/>
                <w:iCs w:val="false"/>
                <w:color w:val="00ACC1"/>
                <w:sz w:val="22"/>
                <w:szCs w:val="22"/>
              </w:rPr>
              <w:t xml:space="preserve">5.  </w:t>
            </w:r>
            <w:r>
              <w:rPr>
                <w:rFonts w:ascii="Arial" w:cs="Arial" w:eastAsia="Arial" w:hAnsi="Arial"/>
                <w:b/>
                <w:bCs/>
                <w:i w:val="false"/>
                <w:iCs w:val="false"/>
                <w:color w:val="FFFFFF"/>
                <w:sz w:val="22"/>
                <w:szCs w:val="22"/>
              </w:rPr>
              <w:t xml:space="preserve">HARDWARE STATUS</w:t>
            </w:r>
          </w:p>
        </w:tc>
      </w:tr>
    </w:tbl>
    <w:p>
      <w:pPr>
        <w:spacing w:after="0" w:before="200"/>
      </w:pPr>
      <w:r>
        <w:t xml:space="preserve"/>
      </w:r>
    </w:p>
    <w:p>
      <w:pPr>
        <w:pBdr>
          <w:bottom w:val="single" w:color="2E5FAB" w:sz="2" w:space="2"/>
        </w:pBdr>
        <w:spacing w:after="80" w:before="280"/>
      </w:pPr>
      <w:r>
        <w:rPr>
          <w:rFonts w:ascii="Arial" w:cs="Arial" w:eastAsia="Arial" w:hAnsi="Arial"/>
          <w:b/>
          <w:bCs/>
          <w:i w:val="false"/>
          <w:iCs w:val="false"/>
          <w:color w:val="2E5FAB"/>
          <w:sz w:val="20"/>
          <w:szCs w:val="20"/>
        </w:rPr>
        <w:t xml:space="preserve">5.1  In Hand</w:t>
      </w:r>
    </w:p>
    <w:p>
      <w:pPr>
        <w:spacing w:after="0" w:before="80"/>
      </w:pPr>
      <w:r>
        <w:t xml:space="preserve"/>
      </w:r>
    </w:p>
    <w:p>
      <w:pPr>
        <w:pStyle w:val="ListParagraph"/>
        <w:numPr>
          <w:ilvl w:val="0"/>
          <w:numId w:val="2"/>
        </w:numPr>
        <w:spacing w:after="80" w:before="0"/>
      </w:pPr>
      <w:r>
        <w:rPr>
          <w:rFonts w:ascii="Arial" w:cs="Arial" w:eastAsia="Arial" w:hAnsi="Arial"/>
          <w:b w:val="false"/>
          <w:bCs w:val="false"/>
          <w:i w:val="false"/>
          <w:iCs w:val="false"/>
          <w:color w:val="1A1A1A"/>
          <w:sz w:val="19"/>
          <w:szCs w:val="19"/>
        </w:rPr>
        <w:t xml:space="preserve">MicroLogix 1400 — in hand</w:t>
      </w:r>
    </w:p>
    <w:p>
      <w:pPr>
        <w:pStyle w:val="ListParagraph"/>
        <w:numPr>
          <w:ilvl w:val="0"/>
          <w:numId w:val="2"/>
        </w:numPr>
        <w:spacing w:after="80" w:before="0"/>
      </w:pPr>
      <w:r>
        <w:rPr>
          <w:rFonts w:ascii="Arial" w:cs="Arial" w:eastAsia="Arial" w:hAnsi="Arial"/>
          <w:b w:val="false"/>
          <w:bCs w:val="false"/>
          <w:i w:val="false"/>
          <w:iCs w:val="false"/>
          <w:color w:val="1A1A1A"/>
          <w:sz w:val="19"/>
          <w:szCs w:val="19"/>
        </w:rPr>
        <w:t xml:space="preserve">MicroLogix 1000 — factory sealed — in hand</w:t>
      </w:r>
    </w:p>
    <w:p>
      <w:pPr>
        <w:pStyle w:val="ListParagraph"/>
        <w:numPr>
          <w:ilvl w:val="0"/>
          <w:numId w:val="2"/>
        </w:numPr>
        <w:spacing w:after="80" w:before="0"/>
      </w:pPr>
      <w:r>
        <w:rPr>
          <w:rFonts w:ascii="Arial" w:cs="Arial" w:eastAsia="Arial" w:hAnsi="Arial"/>
          <w:b w:val="false"/>
          <w:bCs w:val="false"/>
          <w:i w:val="false"/>
          <w:iCs w:val="false"/>
          <w:color w:val="1A1A1A"/>
          <w:sz w:val="19"/>
          <w:szCs w:val="19"/>
        </w:rPr>
        <w:t xml:space="preserve">Micro850 — in hand</w:t>
      </w:r>
    </w:p>
    <w:p>
      <w:pPr>
        <w:pStyle w:val="ListParagraph"/>
        <w:numPr>
          <w:ilvl w:val="0"/>
          <w:numId w:val="2"/>
        </w:numPr>
        <w:spacing w:after="80" w:before="0"/>
      </w:pPr>
      <w:r>
        <w:rPr>
          <w:rFonts w:ascii="Arial" w:cs="Arial" w:eastAsia="Arial" w:hAnsi="Arial"/>
          <w:b w:val="false"/>
          <w:bCs w:val="false"/>
          <w:i w:val="false"/>
          <w:iCs w:val="false"/>
          <w:color w:val="1A1A1A"/>
          <w:sz w:val="19"/>
          <w:szCs w:val="19"/>
        </w:rPr>
        <w:t xml:space="preserve">CompactLogix L24ER — in hand</w:t>
      </w:r>
    </w:p>
    <w:p>
      <w:pPr>
        <w:pStyle w:val="ListParagraph"/>
        <w:numPr>
          <w:ilvl w:val="0"/>
          <w:numId w:val="2"/>
        </w:numPr>
        <w:spacing w:after="80" w:before="0"/>
      </w:pPr>
      <w:r>
        <w:rPr>
          <w:rFonts w:ascii="Arial" w:cs="Arial" w:eastAsia="Arial" w:hAnsi="Arial"/>
          <w:b w:val="false"/>
          <w:bCs w:val="false"/>
          <w:i w:val="false"/>
          <w:iCs w:val="false"/>
          <w:color w:val="1A1A1A"/>
          <w:sz w:val="19"/>
          <w:szCs w:val="19"/>
        </w:rPr>
        <w:t xml:space="preserve">GuardLogix + Point I/O safety — in hand</w:t>
      </w:r>
    </w:p>
    <w:p>
      <w:pPr>
        <w:pStyle w:val="ListParagraph"/>
        <w:numPr>
          <w:ilvl w:val="0"/>
          <w:numId w:val="2"/>
        </w:numPr>
        <w:spacing w:after="80" w:before="0"/>
      </w:pPr>
      <w:r>
        <w:rPr>
          <w:rFonts w:ascii="Arial" w:cs="Arial" w:eastAsia="Arial" w:hAnsi="Arial"/>
          <w:b w:val="false"/>
          <w:bCs w:val="false"/>
          <w:i w:val="false"/>
          <w:iCs w:val="false"/>
          <w:color w:val="1A1A1A"/>
          <w:sz w:val="19"/>
          <w:szCs w:val="19"/>
        </w:rPr>
        <w:t xml:space="preserve">S7-1200 #1 + ET200SP PROFINET — in hand</w:t>
      </w:r>
    </w:p>
    <w:p>
      <w:pPr>
        <w:pStyle w:val="ListParagraph"/>
        <w:numPr>
          <w:ilvl w:val="0"/>
          <w:numId w:val="2"/>
        </w:numPr>
        <w:spacing w:after="80" w:before="0"/>
      </w:pPr>
      <w:r>
        <w:rPr>
          <w:rFonts w:ascii="Arial" w:cs="Arial" w:eastAsia="Arial" w:hAnsi="Arial"/>
          <w:b w:val="false"/>
          <w:bCs w:val="false"/>
          <w:i w:val="false"/>
          <w:iCs w:val="false"/>
          <w:color w:val="1A1A1A"/>
          <w:sz w:val="19"/>
          <w:szCs w:val="19"/>
        </w:rPr>
        <w:t xml:space="preserve">S7-1200 #2 + ET200SP PROFIBUS — in hand</w:t>
      </w:r>
    </w:p>
    <w:p>
      <w:pPr>
        <w:pStyle w:val="ListParagraph"/>
        <w:numPr>
          <w:ilvl w:val="0"/>
          <w:numId w:val="2"/>
        </w:numPr>
        <w:spacing w:after="80" w:before="0"/>
      </w:pPr>
      <w:r>
        <w:rPr>
          <w:rFonts w:ascii="Arial" w:cs="Arial" w:eastAsia="Arial" w:hAnsi="Arial"/>
          <w:b w:val="false"/>
          <w:bCs w:val="false"/>
          <w:i w:val="false"/>
          <w:iCs w:val="false"/>
          <w:color w:val="1A1A1A"/>
          <w:sz w:val="19"/>
          <w:szCs w:val="19"/>
        </w:rPr>
        <w:t xml:space="preserve">Beckhoff CX5120 + EK1100 — in hand</w:t>
      </w:r>
    </w:p>
    <w:p>
      <w:pPr>
        <w:pStyle w:val="ListParagraph"/>
        <w:numPr>
          <w:ilvl w:val="0"/>
          <w:numId w:val="2"/>
        </w:numPr>
        <w:spacing w:after="80" w:before="0"/>
      </w:pPr>
      <w:r>
        <w:rPr>
          <w:rFonts w:ascii="Arial" w:cs="Arial" w:eastAsia="Arial" w:hAnsi="Arial"/>
          <w:b w:val="false"/>
          <w:bCs w:val="false"/>
          <w:i w:val="false"/>
          <w:iCs w:val="false"/>
          <w:color w:val="1A1A1A"/>
          <w:sz w:val="19"/>
          <w:szCs w:val="19"/>
        </w:rPr>
        <w:t xml:space="preserve">Wago PFC200 750-8206 v1 — in hand</w:t>
      </w:r>
    </w:p>
    <w:p>
      <w:pPr>
        <w:pStyle w:val="ListParagraph"/>
        <w:numPr>
          <w:ilvl w:val="0"/>
          <w:numId w:val="2"/>
        </w:numPr>
        <w:spacing w:after="80" w:before="0"/>
      </w:pPr>
      <w:r>
        <w:rPr>
          <w:rFonts w:ascii="Arial" w:cs="Arial" w:eastAsia="Arial" w:hAnsi="Arial"/>
          <w:b w:val="false"/>
          <w:bCs w:val="false"/>
          <w:i w:val="false"/>
          <w:iCs w:val="false"/>
          <w:color w:val="1A1A1A"/>
          <w:sz w:val="19"/>
          <w:szCs w:val="19"/>
        </w:rPr>
        <w:t xml:space="preserve">groov EPIC-PR1 — in hand</w:t>
      </w:r>
    </w:p>
    <w:p>
      <w:pPr>
        <w:pStyle w:val="ListParagraph"/>
        <w:numPr>
          <w:ilvl w:val="0"/>
          <w:numId w:val="2"/>
        </w:numPr>
        <w:spacing w:after="80" w:before="0"/>
      </w:pPr>
      <w:r>
        <w:rPr>
          <w:rFonts w:ascii="Arial" w:cs="Arial" w:eastAsia="Arial" w:hAnsi="Arial"/>
          <w:b w:val="false"/>
          <w:bCs w:val="false"/>
          <w:i w:val="false"/>
          <w:iCs w:val="false"/>
          <w:color w:val="1A1A1A"/>
          <w:sz w:val="19"/>
          <w:szCs w:val="19"/>
        </w:rPr>
        <w:t xml:space="preserve">Raspberry Pi 4B — operational — Samsung T7 SSD — Mosquitto running</w:t>
      </w:r>
    </w:p>
    <w:p>
      <w:pPr>
        <w:pStyle w:val="ListParagraph"/>
        <w:numPr>
          <w:ilvl w:val="0"/>
          <w:numId w:val="2"/>
        </w:numPr>
        <w:spacing w:after="80" w:before="0"/>
      </w:pPr>
      <w:r>
        <w:rPr>
          <w:rFonts w:ascii="Arial" w:cs="Arial" w:eastAsia="Arial" w:hAnsi="Arial"/>
          <w:b w:val="false"/>
          <w:bCs w:val="false"/>
          <w:i w:val="false"/>
          <w:iCs w:val="false"/>
          <w:color w:val="1A1A1A"/>
          <w:sz w:val="19"/>
          <w:szCs w:val="19"/>
        </w:rPr>
        <w:t xml:space="preserve">Cisco SG300-28PP-K9 — in hand</w:t>
      </w:r>
    </w:p>
    <w:p>
      <w:pPr>
        <w:pStyle w:val="ListParagraph"/>
        <w:numPr>
          <w:ilvl w:val="0"/>
          <w:numId w:val="2"/>
        </w:numPr>
        <w:spacing w:after="80" w:before="0"/>
      </w:pPr>
      <w:r>
        <w:rPr>
          <w:rFonts w:ascii="Arial" w:cs="Arial" w:eastAsia="Arial" w:hAnsi="Arial"/>
          <w:b w:val="false"/>
          <w:bCs w:val="false"/>
          <w:i w:val="false"/>
          <w:iCs w:val="false"/>
          <w:color w:val="1A1A1A"/>
          <w:sz w:val="19"/>
          <w:szCs w:val="19"/>
        </w:rPr>
        <w:t xml:space="preserve">GL.iNet GL-MT3000 — in hand</w:t>
      </w:r>
    </w:p>
    <w:p>
      <w:pPr>
        <w:pStyle w:val="ListParagraph"/>
        <w:numPr>
          <w:ilvl w:val="0"/>
          <w:numId w:val="2"/>
        </w:numPr>
        <w:spacing w:after="80" w:before="0"/>
      </w:pPr>
      <w:r>
        <w:rPr>
          <w:rFonts w:ascii="Arial" w:cs="Arial" w:eastAsia="Arial" w:hAnsi="Arial"/>
          <w:b w:val="false"/>
          <w:bCs w:val="false"/>
          <w:i w:val="false"/>
          <w:iCs w:val="false"/>
          <w:color w:val="1A1A1A"/>
          <w:sz w:val="19"/>
          <w:szCs w:val="19"/>
        </w:rPr>
        <w:t xml:space="preserve">Hirschmann SPIDER switch — in hand</w:t>
      </w:r>
    </w:p>
    <w:p>
      <w:pPr>
        <w:pStyle w:val="ListParagraph"/>
        <w:numPr>
          <w:ilvl w:val="0"/>
          <w:numId w:val="2"/>
        </w:numPr>
        <w:spacing w:after="80" w:before="0"/>
      </w:pPr>
      <w:r>
        <w:rPr>
          <w:rFonts w:ascii="Arial" w:cs="Arial" w:eastAsia="Arial" w:hAnsi="Arial"/>
          <w:b w:val="false"/>
          <w:bCs w:val="false"/>
          <w:i w:val="false"/>
          <w:iCs w:val="false"/>
          <w:color w:val="1A1A1A"/>
          <w:sz w:val="19"/>
          <w:szCs w:val="19"/>
        </w:rPr>
        <w:t xml:space="preserve">MGate MB3170 — in hand</w:t>
      </w:r>
    </w:p>
    <w:p>
      <w:pPr>
        <w:pStyle w:val="ListParagraph"/>
        <w:numPr>
          <w:ilvl w:val="0"/>
          <w:numId w:val="2"/>
        </w:numPr>
        <w:spacing w:after="80" w:before="0"/>
      </w:pPr>
      <w:r>
        <w:rPr>
          <w:rFonts w:ascii="Arial" w:cs="Arial" w:eastAsia="Arial" w:hAnsi="Arial"/>
          <w:b w:val="false"/>
          <w:bCs w:val="false"/>
          <w:i w:val="false"/>
          <w:iCs w:val="false"/>
          <w:color w:val="1A1A1A"/>
          <w:sz w:val="19"/>
          <w:szCs w:val="19"/>
        </w:rPr>
        <w:t xml:space="preserve">Phoenix Contact Quint Power 5A PSUs ×4 — in hand</w:t>
      </w:r>
    </w:p>
    <w:p>
      <w:pPr>
        <w:pStyle w:val="ListParagraph"/>
        <w:numPr>
          <w:ilvl w:val="0"/>
          <w:numId w:val="2"/>
        </w:numPr>
        <w:spacing w:after="80" w:before="0"/>
      </w:pPr>
      <w:r>
        <w:rPr>
          <w:rFonts w:ascii="Arial" w:cs="Arial" w:eastAsia="Arial" w:hAnsi="Arial"/>
          <w:b w:val="false"/>
          <w:bCs w:val="false"/>
          <w:i w:val="false"/>
          <w:iCs w:val="false"/>
          <w:color w:val="1A1A1A"/>
          <w:sz w:val="19"/>
          <w:szCs w:val="19"/>
        </w:rPr>
        <w:t xml:space="preserve">Phoenix Contact Quint Power 10A PSU ×1 — in hand</w:t>
      </w:r>
    </w:p>
    <w:p>
      <w:pPr>
        <w:pStyle w:val="ListParagraph"/>
        <w:numPr>
          <w:ilvl w:val="0"/>
          <w:numId w:val="2"/>
        </w:numPr>
        <w:spacing w:after="80" w:before="0"/>
      </w:pPr>
      <w:r>
        <w:rPr>
          <w:rFonts w:ascii="Arial" w:cs="Arial" w:eastAsia="Arial" w:hAnsi="Arial"/>
          <w:b w:val="false"/>
          <w:bCs w:val="false"/>
          <w:i w:val="false"/>
          <w:iCs w:val="false"/>
          <w:color w:val="1A1A1A"/>
          <w:sz w:val="19"/>
          <w:szCs w:val="19"/>
        </w:rPr>
        <w:t xml:space="preserve">PowerFlex 4 ×1 — in hand (×2 listed on eBay)</w:t>
      </w:r>
    </w:p>
    <w:p>
      <w:pPr>
        <w:pStyle w:val="ListParagraph"/>
        <w:numPr>
          <w:ilvl w:val="0"/>
          <w:numId w:val="2"/>
        </w:numPr>
        <w:spacing w:after="80" w:before="0"/>
      </w:pPr>
      <w:r>
        <w:rPr>
          <w:rFonts w:ascii="Arial" w:cs="Arial" w:eastAsia="Arial" w:hAnsi="Arial"/>
          <w:b w:val="false"/>
          <w:bCs w:val="false"/>
          <w:i w:val="false"/>
          <w:iCs w:val="false"/>
          <w:color w:val="1A1A1A"/>
          <w:sz w:val="19"/>
          <w:szCs w:val="19"/>
        </w:rPr>
        <w:t xml:space="preserve">StarTech PDU ×2 — in hand</w:t>
      </w:r>
    </w:p>
    <w:p>
      <w:pPr>
        <w:pStyle w:val="ListParagraph"/>
        <w:numPr>
          <w:ilvl w:val="0"/>
          <w:numId w:val="2"/>
        </w:numPr>
        <w:spacing w:after="80" w:before="0"/>
      </w:pPr>
      <w:r>
        <w:rPr>
          <w:rFonts w:ascii="Arial" w:cs="Arial" w:eastAsia="Arial" w:hAnsi="Arial"/>
          <w:b w:val="false"/>
          <w:bCs w:val="false"/>
          <w:i w:val="false"/>
          <w:iCs w:val="false"/>
          <w:color w:val="1A1A1A"/>
          <w:sz w:val="19"/>
          <w:szCs w:val="19"/>
        </w:rPr>
        <w:t xml:space="preserve">42U Riveco open frame rack — assembled — all shelves installed</w:t>
      </w:r>
    </w:p>
    <w:p>
      <w:pPr>
        <w:pStyle w:val="ListParagraph"/>
        <w:numPr>
          <w:ilvl w:val="0"/>
          <w:numId w:val="2"/>
        </w:numPr>
        <w:spacing w:after="80" w:before="0"/>
      </w:pPr>
      <w:r>
        <w:rPr>
          <w:rFonts w:ascii="Arial" w:cs="Arial" w:eastAsia="Arial" w:hAnsi="Arial"/>
          <w:b w:val="false"/>
          <w:bCs w:val="false"/>
          <w:i w:val="false"/>
          <w:iCs w:val="false"/>
          <w:color w:val="1A1A1A"/>
          <w:sz w:val="19"/>
          <w:szCs w:val="19"/>
        </w:rPr>
        <w:t xml:space="preserve">Copper ground bus bar 28-lug — in hand</w:t>
      </w:r>
    </w:p>
    <w:p>
      <w:pPr>
        <w:pStyle w:val="ListParagraph"/>
        <w:numPr>
          <w:ilvl w:val="0"/>
          <w:numId w:val="2"/>
        </w:numPr>
        <w:spacing w:after="80" w:before="0"/>
      </w:pPr>
      <w:r>
        <w:rPr>
          <w:rFonts w:ascii="Arial" w:cs="Arial" w:eastAsia="Arial" w:hAnsi="Arial"/>
          <w:b w:val="false"/>
          <w:bCs w:val="false"/>
          <w:i w:val="false"/>
          <w:iCs w:val="false"/>
          <w:color w:val="1A1A1A"/>
          <w:sz w:val="19"/>
          <w:szCs w:val="19"/>
        </w:rPr>
        <w:t xml:space="preserve">AC breaker shelf — nearly complete — 1× 3A breaker inbound</w:t>
      </w:r>
    </w:p>
    <w:p>
      <w:pPr>
        <w:pStyle w:val="ListParagraph"/>
        <w:numPr>
          <w:ilvl w:val="0"/>
          <w:numId w:val="2"/>
        </w:numPr>
        <w:spacing w:after="80" w:before="0"/>
      </w:pPr>
      <w:r>
        <w:rPr>
          <w:rFonts w:ascii="Arial" w:cs="Arial" w:eastAsia="Arial" w:hAnsi="Arial"/>
          <w:b w:val="false"/>
          <w:bCs w:val="false"/>
          <w:i w:val="false"/>
          <w:iCs w:val="false"/>
          <w:color w:val="1A1A1A"/>
          <w:sz w:val="19"/>
          <w:szCs w:val="19"/>
        </w:rPr>
        <w:t xml:space="preserve">AOOSTAR WTR Max NAS — in hand — Proxmox pending RAM install</w:t>
      </w:r>
    </w:p>
    <w:p>
      <w:pPr>
        <w:pStyle w:val="ListParagraph"/>
        <w:numPr>
          <w:ilvl w:val="0"/>
          <w:numId w:val="2"/>
        </w:numPr>
        <w:spacing w:after="80" w:before="0"/>
      </w:pPr>
      <w:r>
        <w:rPr>
          <w:rFonts w:ascii="Arial" w:cs="Arial" w:eastAsia="Arial" w:hAnsi="Arial"/>
          <w:b w:val="false"/>
          <w:bCs w:val="false"/>
          <w:i w:val="false"/>
          <w:iCs w:val="false"/>
          <w:color w:val="1A1A1A"/>
          <w:sz w:val="19"/>
          <w:szCs w:val="19"/>
        </w:rPr>
        <w:t xml:space="preserve">LAN tap — ordered</w:t>
      </w:r>
    </w:p>
    <w:p>
      <w:pPr>
        <w:spacing w:after="0" w:before="160"/>
      </w:pPr>
      <w:r>
        <w:t xml:space="preserve"/>
      </w:r>
    </w:p>
    <w:p>
      <w:pPr>
        <w:pBdr>
          <w:bottom w:val="single" w:color="2E5FAB" w:sz="2" w:space="2"/>
        </w:pBdr>
        <w:spacing w:after="80" w:before="280"/>
      </w:pPr>
      <w:r>
        <w:rPr>
          <w:rFonts w:ascii="Arial" w:cs="Arial" w:eastAsia="Arial" w:hAnsi="Arial"/>
          <w:b/>
          <w:bCs/>
          <w:i w:val="false"/>
          <w:iCs w:val="false"/>
          <w:color w:val="2E5FAB"/>
          <w:sz w:val="20"/>
          <w:szCs w:val="20"/>
        </w:rPr>
        <w:t xml:space="preserve">5.2  Still Needed</w:t>
      </w:r>
    </w:p>
    <w:p>
      <w:pPr>
        <w:spacing w:after="0" w:before="80"/>
      </w:pPr>
      <w:r>
        <w:t xml:space="preserve"/>
      </w:r>
    </w:p>
    <w:p>
      <w:pPr>
        <w:pStyle w:val="ListParagraph"/>
        <w:numPr>
          <w:ilvl w:val="0"/>
          <w:numId w:val="2"/>
        </w:numPr>
        <w:spacing w:after="80" w:before="0"/>
      </w:pPr>
      <w:r>
        <w:rPr>
          <w:rFonts w:ascii="Arial" w:cs="Arial" w:eastAsia="Arial" w:hAnsi="Arial"/>
          <w:b w:val="false"/>
          <w:bCs w:val="false"/>
          <w:i w:val="false"/>
          <w:iCs w:val="false"/>
          <w:color w:val="1A1A1A"/>
          <w:sz w:val="19"/>
          <w:szCs w:val="19"/>
        </w:rPr>
        <w:t xml:space="preserve">MGate EIP3170 — inbound</w:t>
      </w:r>
    </w:p>
    <w:p>
      <w:pPr>
        <w:pStyle w:val="ListParagraph"/>
        <w:numPr>
          <w:ilvl w:val="0"/>
          <w:numId w:val="2"/>
        </w:numPr>
        <w:spacing w:after="80" w:before="0"/>
      </w:pPr>
      <w:r>
        <w:rPr>
          <w:rFonts w:ascii="Arial" w:cs="Arial" w:eastAsia="Arial" w:hAnsi="Arial"/>
          <w:b w:val="false"/>
          <w:bCs w:val="false"/>
          <w:i w:val="false"/>
          <w:iCs w:val="false"/>
          <w:color w:val="1A1A1A"/>
          <w:sz w:val="19"/>
          <w:szCs w:val="19"/>
        </w:rPr>
        <w:t xml:space="preserve">Phoenix Contact DC/DC converter 24V → 12V at 10A minimum — for groov EPIC power</w:t>
      </w:r>
    </w:p>
    <w:p>
      <w:pPr>
        <w:pStyle w:val="ListParagraph"/>
        <w:numPr>
          <w:ilvl w:val="0"/>
          <w:numId w:val="2"/>
        </w:numPr>
        <w:spacing w:after="80" w:before="0"/>
      </w:pPr>
      <w:r>
        <w:rPr>
          <w:rFonts w:ascii="Arial" w:cs="Arial" w:eastAsia="Arial" w:hAnsi="Arial"/>
          <w:b w:val="false"/>
          <w:bCs w:val="false"/>
          <w:i w:val="false"/>
          <w:iCs w:val="false"/>
          <w:color w:val="1A1A1A"/>
          <w:sz w:val="19"/>
          <w:szCs w:val="19"/>
        </w:rPr>
        <w:t xml:space="preserve">RS-232 splitter — DH-485 on MicroLogix 1000 — ~$20</w:t>
      </w:r>
    </w:p>
    <w:p>
      <w:pPr>
        <w:pStyle w:val="ListParagraph"/>
        <w:numPr>
          <w:ilvl w:val="0"/>
          <w:numId w:val="2"/>
        </w:numPr>
        <w:spacing w:after="80" w:before="0"/>
      </w:pPr>
      <w:r>
        <w:rPr>
          <w:rFonts w:ascii="Arial" w:cs="Arial" w:eastAsia="Arial" w:hAnsi="Arial"/>
          <w:b w:val="false"/>
          <w:bCs w:val="false"/>
          <w:i w:val="false"/>
          <w:iCs w:val="false"/>
          <w:color w:val="1A1A1A"/>
          <w:sz w:val="19"/>
          <w:szCs w:val="19"/>
        </w:rPr>
        <w:t xml:space="preserve">One additional 2U mesh vent panel</w:t>
      </w:r>
    </w:p>
    <w:p>
      <w:pPr>
        <w:pStyle w:val="ListParagraph"/>
        <w:numPr>
          <w:ilvl w:val="0"/>
          <w:numId w:val="2"/>
        </w:numPr>
        <w:spacing w:after="80" w:before="0"/>
      </w:pPr>
      <w:r>
        <w:rPr>
          <w:rFonts w:ascii="Arial" w:cs="Arial" w:eastAsia="Arial" w:hAnsi="Arial"/>
          <w:b w:val="false"/>
          <w:bCs w:val="false"/>
          <w:i w:val="false"/>
          <w:iCs w:val="false"/>
          <w:color w:val="1A1A1A"/>
          <w:sz w:val="19"/>
          <w:szCs w:val="19"/>
        </w:rPr>
        <w:t xml:space="preserve">Operator panel rack — 20U or 24U — matching Riveco frame — TBD — mobile demonstration unit</w:t>
      </w:r>
    </w:p>
    <w:p>
      <w:pPr>
        <w:pStyle w:val="ListParagraph"/>
        <w:numPr>
          <w:ilvl w:val="0"/>
          <w:numId w:val="2"/>
        </w:numPr>
        <w:spacing w:after="80" w:before="0"/>
      </w:pPr>
      <w:r>
        <w:rPr>
          <w:rFonts w:ascii="Arial" w:cs="Arial" w:eastAsia="Arial" w:hAnsi="Arial"/>
          <w:b w:val="false"/>
          <w:bCs w:val="false"/>
          <w:i w:val="false"/>
          <w:iCs w:val="false"/>
          <w:color w:val="1A1A1A"/>
          <w:sz w:val="19"/>
          <w:szCs w:val="19"/>
        </w:rPr>
        <w:t xml:space="preserve">PowerFlex 525 — 0.5HP — EtherNet/IP — operator panel rack VFD for pump module</w:t>
      </w:r>
    </w:p>
    <w:p>
      <w:pPr>
        <w:pStyle w:val="ListParagraph"/>
        <w:numPr>
          <w:ilvl w:val="0"/>
          <w:numId w:val="2"/>
        </w:numPr>
        <w:spacing w:after="80" w:before="0"/>
      </w:pPr>
      <w:r>
        <w:rPr>
          <w:rFonts w:ascii="Arial" w:cs="Arial" w:eastAsia="Arial" w:hAnsi="Arial"/>
          <w:b w:val="false"/>
          <w:bCs w:val="false"/>
          <w:i w:val="false"/>
          <w:iCs w:val="false"/>
          <w:color w:val="1A1A1A"/>
          <w:sz w:val="19"/>
          <w:szCs w:val="19"/>
        </w:rPr>
        <w:t xml:space="preserve">TBD 10" HMI — for operator panel rack</w:t>
      </w:r>
    </w:p>
    <w:p>
      <w:pPr>
        <w:pStyle w:val="ListParagraph"/>
        <w:numPr>
          <w:ilvl w:val="0"/>
          <w:numId w:val="2"/>
        </w:numPr>
        <w:spacing w:after="80" w:before="0"/>
      </w:pPr>
      <w:r>
        <w:rPr>
          <w:rFonts w:ascii="Arial" w:cs="Arial" w:eastAsia="Arial" w:hAnsi="Arial"/>
          <w:b w:val="false"/>
          <w:bCs w:val="false"/>
          <w:i w:val="false"/>
          <w:iCs w:val="false"/>
          <w:color w:val="1A1A1A"/>
          <w:sz w:val="19"/>
          <w:szCs w:val="19"/>
        </w:rPr>
        <w:t xml:space="preserve">IFM AL1590 IO-Link master — ~$300 used</w:t>
      </w:r>
    </w:p>
    <w:p>
      <w:pPr>
        <w:pStyle w:val="ListParagraph"/>
        <w:numPr>
          <w:ilvl w:val="0"/>
          <w:numId w:val="2"/>
        </w:numPr>
        <w:spacing w:after="80" w:before="0"/>
      </w:pPr>
      <w:r>
        <w:rPr>
          <w:rFonts w:ascii="Arial" w:cs="Arial" w:eastAsia="Arial" w:hAnsi="Arial"/>
          <w:b w:val="false"/>
          <w:bCs w:val="false"/>
          <w:i w:val="false"/>
          <w:iCs w:val="false"/>
          <w:color w:val="1A1A1A"/>
          <w:sz w:val="19"/>
          <w:szCs w:val="19"/>
        </w:rPr>
        <w:t xml:space="preserve">IO-Link sensors — temperature, pressure, flow, vibration — IFM preferred</w:t>
      </w:r>
    </w:p>
    <w:p>
      <w:pPr>
        <w:pStyle w:val="ListParagraph"/>
        <w:numPr>
          <w:ilvl w:val="0"/>
          <w:numId w:val="2"/>
        </w:numPr>
        <w:spacing w:after="80" w:before="0"/>
      </w:pPr>
      <w:r>
        <w:rPr>
          <w:rFonts w:ascii="Arial" w:cs="Arial" w:eastAsia="Arial" w:hAnsi="Arial"/>
          <w:b w:val="false"/>
          <w:bCs w:val="false"/>
          <w:i w:val="false"/>
          <w:iCs w:val="false"/>
          <w:color w:val="1A1A1A"/>
          <w:sz w:val="19"/>
          <w:szCs w:val="19"/>
        </w:rPr>
        <w:t xml:space="preserve">Pump module components — 24VDC pump, reservoir, clear tubing</w:t>
      </w:r>
    </w:p>
    <w:p>
      <w:pPr>
        <w:pStyle w:val="ListParagraph"/>
        <w:numPr>
          <w:ilvl w:val="0"/>
          <w:numId w:val="2"/>
        </w:numPr>
        <w:spacing w:after="80" w:before="0"/>
      </w:pPr>
      <w:r>
        <w:rPr>
          <w:rFonts w:ascii="Arial" w:cs="Arial" w:eastAsia="Arial" w:hAnsi="Arial"/>
          <w:b w:val="false"/>
          <w:bCs w:val="false"/>
          <w:i w:val="false"/>
          <w:iCs w:val="false"/>
          <w:color w:val="1A1A1A"/>
          <w:sz w:val="19"/>
          <w:szCs w:val="19"/>
        </w:rPr>
        <w:t xml:space="preserve">Two dedicated 20A circuits — panel has capacity — not yet pulled</w:t>
      </w:r>
    </w:p>
    <w:p>
      <w:pPr>
        <w:pStyle w:val="ListParagraph"/>
        <w:numPr>
          <w:ilvl w:val="0"/>
          <w:numId w:val="2"/>
        </w:numPr>
        <w:spacing w:after="80" w:before="0"/>
      </w:pPr>
      <w:r>
        <w:rPr>
          <w:rFonts w:ascii="Arial" w:cs="Arial" w:eastAsia="Arial" w:hAnsi="Arial"/>
          <w:b w:val="false"/>
          <w:bCs w:val="false"/>
          <w:i w:val="false"/>
          <w:iCs w:val="false"/>
          <w:color w:val="1A1A1A"/>
          <w:sz w:val="19"/>
          <w:szCs w:val="19"/>
        </w:rPr>
        <w:t xml:space="preserve">Gray Cat6 patch cables for switch to patch panel</w:t>
      </w:r>
    </w:p>
    <w:p>
      <w:pPr>
        <w:pStyle w:val="ListParagraph"/>
        <w:numPr>
          <w:ilvl w:val="0"/>
          <w:numId w:val="2"/>
        </w:numPr>
        <w:spacing w:after="80" w:before="0"/>
      </w:pPr>
      <w:r>
        <w:rPr>
          <w:rFonts w:ascii="Arial" w:cs="Arial" w:eastAsia="Arial" w:hAnsi="Arial"/>
          <w:b w:val="false"/>
          <w:bCs w:val="false"/>
          <w:i w:val="false"/>
          <w:iCs w:val="false"/>
          <w:color w:val="1A1A1A"/>
          <w:sz w:val="19"/>
          <w:szCs w:val="19"/>
        </w:rPr>
        <w:t xml:space="preserve">CrowPi kit — Pi 5 8GB — 9" touchscreen — desktop HMI/tester/soft PLC — $300</w:t>
      </w:r>
    </w:p>
    <w:p>
      <w:pPr>
        <w:spacing w:after="0" w:before="40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F3864" w:val="clear"/>
            <w:tcMar>
              <w:top w:type="dxa" w:w="100"/>
              <w:left w:type="dxa" w:w="240"/>
              <w:bottom w:type="dxa" w:w="100"/>
              <w:right w:type="dxa" w:w="240"/>
            </w:tcMar>
          </w:tcPr>
          <w:p>
            <w:pPr>
              <w:spacing w:after="60" w:before="60"/>
            </w:pPr>
            <w:r>
              <w:rPr>
                <w:rFonts w:ascii="Arial" w:cs="Arial" w:eastAsia="Arial" w:hAnsi="Arial"/>
                <w:b/>
                <w:bCs/>
                <w:i w:val="false"/>
                <w:iCs w:val="false"/>
                <w:color w:val="00ACC1"/>
                <w:sz w:val="22"/>
                <w:szCs w:val="22"/>
              </w:rPr>
              <w:t xml:space="preserve">6.  </w:t>
            </w:r>
            <w:r>
              <w:rPr>
                <w:rFonts w:ascii="Arial" w:cs="Arial" w:eastAsia="Arial" w:hAnsi="Arial"/>
                <w:b/>
                <w:bCs/>
                <w:i w:val="false"/>
                <w:iCs w:val="false"/>
                <w:color w:val="FFFFFF"/>
                <w:sz w:val="22"/>
                <w:szCs w:val="22"/>
              </w:rPr>
              <w:t xml:space="preserve">OPEN ACTION ITEMS</w:t>
            </w:r>
          </w:p>
        </w:tc>
      </w:tr>
    </w:tbl>
    <w:p>
      <w:pPr>
        <w:spacing w:after="0" w:before="200"/>
      </w:pPr>
      <w:r>
        <w:t xml:space="preserve"/>
      </w:r>
    </w:p>
    <w:p>
      <w:pPr>
        <w:pBdr>
          <w:bottom w:val="single" w:color="2E5FAB" w:sz="2" w:space="2"/>
        </w:pBdr>
        <w:spacing w:after="80" w:before="280"/>
      </w:pPr>
      <w:r>
        <w:rPr>
          <w:rFonts w:ascii="Arial" w:cs="Arial" w:eastAsia="Arial" w:hAnsi="Arial"/>
          <w:b/>
          <w:bCs/>
          <w:i w:val="false"/>
          <w:iCs w:val="false"/>
          <w:color w:val="2E5FAB"/>
          <w:sz w:val="20"/>
          <w:szCs w:val="20"/>
        </w:rPr>
        <w:t xml:space="preserve">Immediate — Rack Build</w:t>
      </w:r>
    </w:p>
    <w:p>
      <w:pPr>
        <w:spacing w:after="0" w:before="8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600"/>
        <w:gridCol w:w="5160"/>
        <w:gridCol w:w="3600"/>
      </w:tblGrid>
      <w:tr>
        <w:tc>
          <w:tcPr>
            <w:tcW w:type="dxa" w:w="600"/>
            <w:tcBorders>
              <w:top w:val="single" w:color="CCCCCC" w:sz="1"/>
              <w:left w:val="single" w:color="CCCCCC" w:sz="1"/>
              <w:bottom w:val="single" w:color="CCCCCC" w:sz="1"/>
              <w:right w:val="single" w:color="CCCCCC" w:sz="1"/>
            </w:tcBorders>
            <w:shd w:fill="2E5FAB" w:val="clear"/>
            <w:tcMar>
              <w:top w:type="dxa" w:w="80"/>
              <w:left w:type="dxa" w:w="140"/>
              <w:bottom w:type="dxa" w:w="80"/>
              <w:right w:type="dxa" w:w="100"/>
            </w:tcMar>
          </w:tcPr>
          <w:p>
            <w:r>
              <w:rPr>
                <w:rFonts w:ascii="Arial" w:cs="Arial" w:eastAsia="Arial" w:hAnsi="Arial"/>
                <w:b/>
                <w:bCs/>
                <w:i w:val="false"/>
                <w:iCs w:val="false"/>
                <w:color w:val="FFFFFF"/>
                <w:sz w:val="17"/>
                <w:szCs w:val="17"/>
              </w:rPr>
              <w:t xml:space="preserve">#</w:t>
            </w:r>
          </w:p>
        </w:tc>
        <w:tc>
          <w:tcPr>
            <w:tcW w:type="dxa" w:w="5160"/>
            <w:tcBorders>
              <w:top w:val="single" w:color="CCCCCC" w:sz="1"/>
              <w:left w:val="single" w:color="CCCCCC" w:sz="1"/>
              <w:bottom w:val="single" w:color="CCCCCC" w:sz="1"/>
              <w:right w:val="single" w:color="CCCCCC" w:sz="1"/>
            </w:tcBorders>
            <w:shd w:fill="2E5FAB" w:val="clear"/>
            <w:tcMar>
              <w:top w:type="dxa" w:w="80"/>
              <w:left w:type="dxa" w:w="140"/>
              <w:bottom w:type="dxa" w:w="80"/>
              <w:right w:type="dxa" w:w="100"/>
            </w:tcMar>
          </w:tcPr>
          <w:p>
            <w:r>
              <w:rPr>
                <w:rFonts w:ascii="Arial" w:cs="Arial" w:eastAsia="Arial" w:hAnsi="Arial"/>
                <w:b/>
                <w:bCs/>
                <w:i w:val="false"/>
                <w:iCs w:val="false"/>
                <w:color w:val="FFFFFF"/>
                <w:sz w:val="17"/>
                <w:szCs w:val="17"/>
              </w:rPr>
              <w:t xml:space="preserve">Action Item</w:t>
            </w:r>
          </w:p>
        </w:tc>
        <w:tc>
          <w:tcPr>
            <w:tcW w:type="dxa" w:w="3600"/>
            <w:tcBorders>
              <w:top w:val="single" w:color="CCCCCC" w:sz="1"/>
              <w:left w:val="single" w:color="CCCCCC" w:sz="1"/>
              <w:bottom w:val="single" w:color="CCCCCC" w:sz="1"/>
              <w:right w:val="single" w:color="CCCCCC" w:sz="1"/>
            </w:tcBorders>
            <w:shd w:fill="2E5FAB" w:val="clear"/>
            <w:tcMar>
              <w:top w:type="dxa" w:w="80"/>
              <w:left w:type="dxa" w:w="140"/>
              <w:bottom w:type="dxa" w:w="80"/>
              <w:right w:type="dxa" w:w="100"/>
            </w:tcMar>
          </w:tcPr>
          <w:p>
            <w:r>
              <w:rPr>
                <w:rFonts w:ascii="Arial" w:cs="Arial" w:eastAsia="Arial" w:hAnsi="Arial"/>
                <w:b/>
                <w:bCs/>
                <w:i w:val="false"/>
                <w:iCs w:val="false"/>
                <w:color w:val="FFFFFF"/>
                <w:sz w:val="17"/>
                <w:szCs w:val="17"/>
              </w:rPr>
              <w:t xml:space="preserve">Notes</w:t>
            </w:r>
          </w:p>
        </w:tc>
      </w:tr>
      <w:tr>
        <w:tc>
          <w:tcPr>
            <w:tcW w:type="dxa" w:w="6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R-01</w:t>
            </w:r>
          </w:p>
        </w:tc>
        <w:tc>
          <w:tcPr>
            <w:tcW w:type="dxa" w:w="516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Mount remaining controllers in upper rack sections</w:t>
            </w:r>
          </w:p>
        </w:tc>
        <w:tc>
          <w:tcPr>
            <w:tcW w:type="dxa" w:w="36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Fill U27-38 — waiting on remaining hardware</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R-02</w:t>
            </w:r>
          </w:p>
        </w:tc>
        <w:tc>
          <w:tcPr>
            <w:tcW w:type="dxa" w:w="5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Order one more 2U mesh vent panel</w:t>
            </w:r>
          </w:p>
        </w:tc>
        <w:tc>
          <w:tcPr>
            <w:tcW w:type="dxa" w:w="3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Complete alternating shelf/vent pattern</w:t>
            </w:r>
          </w:p>
        </w:tc>
      </w:tr>
      <w:tr>
        <w:tc>
          <w:tcPr>
            <w:tcW w:type="dxa" w:w="6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R-03</w:t>
            </w:r>
          </w:p>
        </w:tc>
        <w:tc>
          <w:tcPr>
            <w:tcW w:type="dxa" w:w="516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Mount copper ground bus bar — rear center of rack</w:t>
            </w:r>
          </w:p>
        </w:tc>
        <w:tc>
          <w:tcPr>
            <w:tcW w:type="dxa" w:w="36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Before any power wiring begins</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R-04</w:t>
            </w:r>
          </w:p>
        </w:tc>
        <w:tc>
          <w:tcPr>
            <w:tcW w:type="dxa" w:w="5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Install circuit breakers on two DIN rail rows</w:t>
            </w:r>
          </w:p>
        </w:tc>
        <w:tc>
          <w:tcPr>
            <w:tcW w:type="dxa" w:w="3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After ground bus mounted</w:t>
            </w:r>
          </w:p>
        </w:tc>
      </w:tr>
      <w:tr>
        <w:tc>
          <w:tcPr>
            <w:tcW w:type="dxa" w:w="6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R-05</w:t>
            </w:r>
          </w:p>
        </w:tc>
        <w:tc>
          <w:tcPr>
            <w:tcW w:type="dxa" w:w="516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Pull two dedicated 20A circuits from panel</w:t>
            </w:r>
          </w:p>
        </w:tc>
        <w:tc>
          <w:tcPr>
            <w:tcW w:type="dxa" w:w="36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Gate item for rack power-up</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R-06</w:t>
            </w:r>
          </w:p>
        </w:tc>
        <w:tc>
          <w:tcPr>
            <w:tcW w:type="dxa" w:w="5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Wire AC line side — breakers to PSUs</w:t>
            </w:r>
          </w:p>
        </w:tc>
        <w:tc>
          <w:tcPr>
            <w:tcW w:type="dxa" w:w="3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One PSU at a time with DC clamp meter</w:t>
            </w:r>
          </w:p>
        </w:tc>
      </w:tr>
      <w:tr>
        <w:tc>
          <w:tcPr>
            <w:tcW w:type="dxa" w:w="6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R-07</w:t>
            </w:r>
          </w:p>
        </w:tc>
        <w:tc>
          <w:tcPr>
            <w:tcW w:type="dxa" w:w="516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Source Phoenix Contact 12VDC 10A+ DC/DC converter for EPIC</w:t>
            </w:r>
          </w:p>
        </w:tc>
        <w:tc>
          <w:tcPr>
            <w:tcW w:type="dxa" w:w="36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STEP-PS or TRIO-PS — $20-40 used</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R-08</w:t>
            </w:r>
          </w:p>
        </w:tc>
        <w:tc>
          <w:tcPr>
            <w:tcW w:type="dxa" w:w="5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Order gray Cat6 patch cables</w:t>
            </w:r>
          </w:p>
        </w:tc>
        <w:tc>
          <w:tcPr>
            <w:tcW w:type="dxa" w:w="3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After equipment positions confirmed</w:t>
            </w:r>
          </w:p>
        </w:tc>
      </w:tr>
      <w:tr>
        <w:tc>
          <w:tcPr>
            <w:tcW w:type="dxa" w:w="6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R-09</w:t>
            </w:r>
          </w:p>
        </w:tc>
        <w:tc>
          <w:tcPr>
            <w:tcW w:type="dxa" w:w="516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Source RS-232 splitter for DH-485 on MicroLogix 1000</w:t>
            </w:r>
          </w:p>
        </w:tc>
        <w:tc>
          <w:tcPr>
            <w:tcW w:type="dxa" w:w="36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~$20 — enables DH-485 peer communication</w:t>
            </w:r>
          </w:p>
        </w:tc>
      </w:tr>
    </w:tbl>
    <w:p>
      <w:pPr>
        <w:spacing w:after="0" w:before="200"/>
      </w:pPr>
      <w:r>
        <w:t xml:space="preserve"/>
      </w:r>
    </w:p>
    <w:p>
      <w:pPr>
        <w:pBdr>
          <w:bottom w:val="single" w:color="2E5FAB" w:sz="2" w:space="2"/>
        </w:pBdr>
        <w:spacing w:after="80" w:before="280"/>
      </w:pPr>
      <w:r>
        <w:rPr>
          <w:rFonts w:ascii="Arial" w:cs="Arial" w:eastAsia="Arial" w:hAnsi="Arial"/>
          <w:b/>
          <w:bCs/>
          <w:i w:val="false"/>
          <w:iCs w:val="false"/>
          <w:color w:val="2E5FAB"/>
          <w:sz w:val="20"/>
          <w:szCs w:val="20"/>
        </w:rPr>
        <w:t xml:space="preserve">Programming — 60-Day Exercise</w:t>
      </w:r>
    </w:p>
    <w:p>
      <w:pPr>
        <w:spacing w:after="0" w:before="8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600"/>
        <w:gridCol w:w="5160"/>
        <w:gridCol w:w="3600"/>
      </w:tblGrid>
      <w:tr>
        <w:tc>
          <w:tcPr>
            <w:tcW w:type="dxa" w:w="600"/>
            <w:tcBorders>
              <w:top w:val="single" w:color="CCCCCC" w:sz="1"/>
              <w:left w:val="single" w:color="CCCCCC" w:sz="1"/>
              <w:bottom w:val="single" w:color="CCCCCC" w:sz="1"/>
              <w:right w:val="single" w:color="CCCCCC" w:sz="1"/>
            </w:tcBorders>
            <w:shd w:fill="2E5FAB" w:val="clear"/>
            <w:tcMar>
              <w:top w:type="dxa" w:w="80"/>
              <w:left w:type="dxa" w:w="140"/>
              <w:bottom w:type="dxa" w:w="80"/>
              <w:right w:type="dxa" w:w="100"/>
            </w:tcMar>
          </w:tcPr>
          <w:p>
            <w:r>
              <w:rPr>
                <w:rFonts w:ascii="Arial" w:cs="Arial" w:eastAsia="Arial" w:hAnsi="Arial"/>
                <w:b/>
                <w:bCs/>
                <w:i w:val="false"/>
                <w:iCs w:val="false"/>
                <w:color w:val="FFFFFF"/>
                <w:sz w:val="17"/>
                <w:szCs w:val="17"/>
              </w:rPr>
              <w:t xml:space="preserve">#</w:t>
            </w:r>
          </w:p>
        </w:tc>
        <w:tc>
          <w:tcPr>
            <w:tcW w:type="dxa" w:w="5160"/>
            <w:tcBorders>
              <w:top w:val="single" w:color="CCCCCC" w:sz="1"/>
              <w:left w:val="single" w:color="CCCCCC" w:sz="1"/>
              <w:bottom w:val="single" w:color="CCCCCC" w:sz="1"/>
              <w:right w:val="single" w:color="CCCCCC" w:sz="1"/>
            </w:tcBorders>
            <w:shd w:fill="2E5FAB" w:val="clear"/>
            <w:tcMar>
              <w:top w:type="dxa" w:w="80"/>
              <w:left w:type="dxa" w:w="140"/>
              <w:bottom w:type="dxa" w:w="80"/>
              <w:right w:type="dxa" w:w="100"/>
            </w:tcMar>
          </w:tcPr>
          <w:p>
            <w:r>
              <w:rPr>
                <w:rFonts w:ascii="Arial" w:cs="Arial" w:eastAsia="Arial" w:hAnsi="Arial"/>
                <w:b/>
                <w:bCs/>
                <w:i w:val="false"/>
                <w:iCs w:val="false"/>
                <w:color w:val="FFFFFF"/>
                <w:sz w:val="17"/>
                <w:szCs w:val="17"/>
              </w:rPr>
              <w:t xml:space="preserve">Action Item</w:t>
            </w:r>
          </w:p>
        </w:tc>
        <w:tc>
          <w:tcPr>
            <w:tcW w:type="dxa" w:w="3600"/>
            <w:tcBorders>
              <w:top w:val="single" w:color="CCCCCC" w:sz="1"/>
              <w:left w:val="single" w:color="CCCCCC" w:sz="1"/>
              <w:bottom w:val="single" w:color="CCCCCC" w:sz="1"/>
              <w:right w:val="single" w:color="CCCCCC" w:sz="1"/>
            </w:tcBorders>
            <w:shd w:fill="2E5FAB" w:val="clear"/>
            <w:tcMar>
              <w:top w:type="dxa" w:w="80"/>
              <w:left w:type="dxa" w:w="140"/>
              <w:bottom w:type="dxa" w:w="80"/>
              <w:right w:type="dxa" w:w="100"/>
            </w:tcMar>
          </w:tcPr>
          <w:p>
            <w:r>
              <w:rPr>
                <w:rFonts w:ascii="Arial" w:cs="Arial" w:eastAsia="Arial" w:hAnsi="Arial"/>
                <w:b/>
                <w:bCs/>
                <w:i w:val="false"/>
                <w:iCs w:val="false"/>
                <w:color w:val="FFFFFF"/>
                <w:sz w:val="17"/>
                <w:szCs w:val="17"/>
              </w:rPr>
              <w:t xml:space="preserve">Notes</w:t>
            </w:r>
          </w:p>
        </w:tc>
      </w:tr>
      <w:tr>
        <w:tc>
          <w:tcPr>
            <w:tcW w:type="dxa" w:w="6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P-01</w:t>
            </w:r>
          </w:p>
        </w:tc>
        <w:tc>
          <w:tcPr>
            <w:tcW w:type="dxa" w:w="516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Complete desktop training stand — this week</w:t>
            </w:r>
          </w:p>
        </w:tc>
        <w:tc>
          <w:tcPr>
            <w:tcW w:type="dxa" w:w="36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Enables full I/O testing before rack commissioning</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P-02</w:t>
            </w:r>
          </w:p>
        </w:tc>
        <w:tc>
          <w:tcPr>
            <w:tcW w:type="dxa" w:w="5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Complete MicroLogix 1000 simulation automation</w:t>
            </w:r>
          </w:p>
        </w:tc>
        <w:tc>
          <w:tcPr>
            <w:tcW w:type="dxa" w:w="3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Add timers for fault cycling — remove lube fault and OmniLink sections</w:t>
            </w:r>
          </w:p>
        </w:tc>
      </w:tr>
      <w:tr>
        <w:tc>
          <w:tcPr>
            <w:tcW w:type="dxa" w:w="6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P-03</w:t>
            </w:r>
          </w:p>
        </w:tc>
        <w:tc>
          <w:tcPr>
            <w:tcW w:type="dxa" w:w="516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Update MicroLogix 1000 program spec to Rev 0.2</w:t>
            </w:r>
          </w:p>
        </w:tc>
        <w:tc>
          <w:tcPr>
            <w:tcW w:type="dxa" w:w="36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After simulation logic complete and validated on training stand</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P-04</w:t>
            </w:r>
          </w:p>
        </w:tc>
        <w:tc>
          <w:tcPr>
            <w:tcW w:type="dxa" w:w="5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Begin MicroLogix 1400 program</w:t>
            </w:r>
          </w:p>
        </w:tc>
        <w:tc>
          <w:tcPr>
            <w:tcW w:type="dxa" w:w="3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Stamping Press #2 — similar logic to ML1000</w:t>
            </w:r>
          </w:p>
        </w:tc>
      </w:tr>
      <w:tr>
        <w:tc>
          <w:tcPr>
            <w:tcW w:type="dxa" w:w="6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P-05</w:t>
            </w:r>
          </w:p>
        </w:tc>
        <w:tc>
          <w:tcPr>
            <w:tcW w:type="dxa" w:w="516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Sparkplug B validation test when rack network live</w:t>
            </w:r>
          </w:p>
        </w:tc>
        <w:tc>
          <w:tcPr>
            <w:tcW w:type="dxa" w:w="36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EPIC Node-RED → broker → MQTT Explorer — confirm ISA-95 metric names</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P-06</w:t>
            </w:r>
          </w:p>
        </w:tc>
        <w:tc>
          <w:tcPr>
            <w:tcW w:type="dxa" w:w="5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Confirm Wago e!COCKPIT VM trial workflow</w:t>
            </w:r>
          </w:p>
        </w:tc>
        <w:tc>
          <w:tcPr>
            <w:tcW w:type="dxa" w:w="3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Clone drive, install e!COCKPIT, snapshot before trial starts</w:t>
            </w:r>
          </w:p>
        </w:tc>
      </w:tr>
    </w:tbl>
    <w:p>
      <w:pPr>
        <w:spacing w:after="0" w:before="200"/>
      </w:pPr>
      <w:r>
        <w:t xml:space="preserve"/>
      </w:r>
    </w:p>
    <w:p>
      <w:pPr>
        <w:pBdr>
          <w:bottom w:val="single" w:color="2E5FAB" w:sz="2" w:space="2"/>
        </w:pBdr>
        <w:spacing w:after="80" w:before="280"/>
      </w:pPr>
      <w:r>
        <w:rPr>
          <w:rFonts w:ascii="Arial" w:cs="Arial" w:eastAsia="Arial" w:hAnsi="Arial"/>
          <w:b/>
          <w:bCs/>
          <w:i w:val="false"/>
          <w:iCs w:val="false"/>
          <w:color w:val="2E5FAB"/>
          <w:sz w:val="20"/>
          <w:szCs w:val="20"/>
        </w:rPr>
        <w:t xml:space="preserve">Documentation — Deferred</w:t>
      </w:r>
    </w:p>
    <w:p>
      <w:pPr>
        <w:spacing w:after="0" w:before="8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600"/>
        <w:gridCol w:w="5160"/>
        <w:gridCol w:w="3600"/>
      </w:tblGrid>
      <w:tr>
        <w:tc>
          <w:tcPr>
            <w:tcW w:type="dxa" w:w="600"/>
            <w:tcBorders>
              <w:top w:val="single" w:color="CCCCCC" w:sz="1"/>
              <w:left w:val="single" w:color="CCCCCC" w:sz="1"/>
              <w:bottom w:val="single" w:color="CCCCCC" w:sz="1"/>
              <w:right w:val="single" w:color="CCCCCC" w:sz="1"/>
            </w:tcBorders>
            <w:shd w:fill="2E5FAB" w:val="clear"/>
            <w:tcMar>
              <w:top w:type="dxa" w:w="80"/>
              <w:left w:type="dxa" w:w="140"/>
              <w:bottom w:type="dxa" w:w="80"/>
              <w:right w:type="dxa" w:w="100"/>
            </w:tcMar>
          </w:tcPr>
          <w:p>
            <w:r>
              <w:rPr>
                <w:rFonts w:ascii="Arial" w:cs="Arial" w:eastAsia="Arial" w:hAnsi="Arial"/>
                <w:b/>
                <w:bCs/>
                <w:i w:val="false"/>
                <w:iCs w:val="false"/>
                <w:color w:val="FFFFFF"/>
                <w:sz w:val="17"/>
                <w:szCs w:val="17"/>
              </w:rPr>
              <w:t xml:space="preserve">#</w:t>
            </w:r>
          </w:p>
        </w:tc>
        <w:tc>
          <w:tcPr>
            <w:tcW w:type="dxa" w:w="5160"/>
            <w:tcBorders>
              <w:top w:val="single" w:color="CCCCCC" w:sz="1"/>
              <w:left w:val="single" w:color="CCCCCC" w:sz="1"/>
              <w:bottom w:val="single" w:color="CCCCCC" w:sz="1"/>
              <w:right w:val="single" w:color="CCCCCC" w:sz="1"/>
            </w:tcBorders>
            <w:shd w:fill="2E5FAB" w:val="clear"/>
            <w:tcMar>
              <w:top w:type="dxa" w:w="80"/>
              <w:left w:type="dxa" w:w="140"/>
              <w:bottom w:type="dxa" w:w="80"/>
              <w:right w:type="dxa" w:w="100"/>
            </w:tcMar>
          </w:tcPr>
          <w:p>
            <w:r>
              <w:rPr>
                <w:rFonts w:ascii="Arial" w:cs="Arial" w:eastAsia="Arial" w:hAnsi="Arial"/>
                <w:b/>
                <w:bCs/>
                <w:i w:val="false"/>
                <w:iCs w:val="false"/>
                <w:color w:val="FFFFFF"/>
                <w:sz w:val="17"/>
                <w:szCs w:val="17"/>
              </w:rPr>
              <w:t xml:space="preserve">Action Item</w:t>
            </w:r>
          </w:p>
        </w:tc>
        <w:tc>
          <w:tcPr>
            <w:tcW w:type="dxa" w:w="3600"/>
            <w:tcBorders>
              <w:top w:val="single" w:color="CCCCCC" w:sz="1"/>
              <w:left w:val="single" w:color="CCCCCC" w:sz="1"/>
              <w:bottom w:val="single" w:color="CCCCCC" w:sz="1"/>
              <w:right w:val="single" w:color="CCCCCC" w:sz="1"/>
            </w:tcBorders>
            <w:shd w:fill="2E5FAB" w:val="clear"/>
            <w:tcMar>
              <w:top w:type="dxa" w:w="80"/>
              <w:left w:type="dxa" w:w="140"/>
              <w:bottom w:type="dxa" w:w="80"/>
              <w:right w:type="dxa" w:w="100"/>
            </w:tcMar>
          </w:tcPr>
          <w:p>
            <w:r>
              <w:rPr>
                <w:rFonts w:ascii="Arial" w:cs="Arial" w:eastAsia="Arial" w:hAnsi="Arial"/>
                <w:b/>
                <w:bCs/>
                <w:i w:val="false"/>
                <w:iCs w:val="false"/>
                <w:color w:val="FFFFFF"/>
                <w:sz w:val="17"/>
                <w:szCs w:val="17"/>
              </w:rPr>
              <w:t xml:space="preserve">Notes</w:t>
            </w:r>
          </w:p>
        </w:tc>
      </w:tr>
      <w:tr>
        <w:tc>
          <w:tcPr>
            <w:tcW w:type="dxa" w:w="6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D-01</w:t>
            </w:r>
          </w:p>
        </w:tc>
        <w:tc>
          <w:tcPr>
            <w:tcW w:type="dxa" w:w="516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Consolidated document family revision pass</w:t>
            </w:r>
          </w:p>
        </w:tc>
        <w:tc>
          <w:tcPr>
            <w:tcW w:type="dxa" w:w="36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All items in Section 3 — after NAS commissioned and operator panel rack sourced</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D-02</w:t>
            </w:r>
          </w:p>
        </w:tc>
        <w:tc>
          <w:tcPr>
            <w:tcW w:type="dxa" w:w="5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Build Rack Operations Manual</w:t>
            </w:r>
          </w:p>
        </w:tc>
        <w:tc>
          <w:tcPr>
            <w:tcW w:type="dxa" w:w="3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NAS as IIoT host from start — no IPC references — Proxmox startup sequence</w:t>
            </w:r>
          </w:p>
        </w:tc>
      </w:tr>
      <w:tr>
        <w:tc>
          <w:tcPr>
            <w:tcW w:type="dxa" w:w="6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D-03</w:t>
            </w:r>
          </w:p>
        </w:tc>
        <w:tc>
          <w:tcPr>
            <w:tcW w:type="dxa" w:w="516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Build Network Architecture document</w:t>
            </w:r>
          </w:p>
        </w:tc>
        <w:tc>
          <w:tcPr>
            <w:tcW w:type="dxa" w:w="36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VLAN map, IP assignments, Cisco switch port assignments</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D-04</w:t>
            </w:r>
          </w:p>
        </w:tc>
        <w:tc>
          <w:tcPr>
            <w:tcW w:type="dxa" w:w="5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Update UNS Subscription Register Rev 0.2</w:t>
            </w:r>
          </w:p>
        </w:tc>
        <w:tc>
          <w:tcPr>
            <w:tcW w:type="dxa" w:w="3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Wash cell Process/Safety designator — operator panel rack topics</w:t>
            </w:r>
          </w:p>
        </w:tc>
      </w:tr>
      <w:tr>
        <w:tc>
          <w:tcPr>
            <w:tcW w:type="dxa" w:w="6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D-05</w:t>
            </w:r>
          </w:p>
        </w:tc>
        <w:tc>
          <w:tcPr>
            <w:tcW w:type="dxa" w:w="516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Build Master Tag Register</w:t>
            </w:r>
          </w:p>
        </w:tc>
        <w:tc>
          <w:tcPr>
            <w:tcW w:type="dxa" w:w="36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When programs exist — ISA-95 Tier 1 and Tier 2 for all controllers</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D-06</w:t>
            </w:r>
          </w:p>
        </w:tc>
        <w:tc>
          <w:tcPr>
            <w:tcW w:type="dxa" w:w="5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Add rack photos to repository assets folder</w:t>
            </w:r>
          </w:p>
        </w:tc>
        <w:tc>
          <w:tcPr>
            <w:tcW w:type="dxa" w:w="3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Good photo when rack is dressed — full front face, broker labels, PSU shelf</w:t>
            </w:r>
          </w:p>
        </w:tc>
      </w:tr>
      <w:tr>
        <w:tc>
          <w:tcPr>
            <w:tcW w:type="dxa" w:w="6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D-07</w:t>
            </w:r>
          </w:p>
        </w:tc>
        <w:tc>
          <w:tcPr>
            <w:tcW w:type="dxa" w:w="516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Identify colleague for Independence Validation exercise</w:t>
            </w:r>
          </w:p>
        </w:tc>
        <w:tc>
          <w:tcPr>
            <w:tcW w:type="dxa" w:w="36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Phase 7 Gate G7 requirement — colleague works from documentation only — no prior knowledge of build</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D-08</w:t>
            </w:r>
          </w:p>
        </w:tc>
        <w:tc>
          <w:tcPr>
            <w:tcW w:type="dxa" w:w="5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Consolidated document family revision pass</w:t>
            </w:r>
          </w:p>
        </w:tc>
        <w:tc>
          <w:tcPr>
            <w:tcW w:type="dxa" w:w="3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IIoT Data Layer Architecture Rev 0.3, ADR Rev 0.2, UNS Diagram, Rack Hardware Register, IO-Link Pump Module Concept Rev 0.3, Company Profile Rev 1.1, Capabilities Document Rev 1.1, NAS Implementation Rev 0.2, Pi Broker Config Rev 0.4 — deferred until NAS commissioned and operator panel rack sourced</w:t>
            </w:r>
          </w:p>
        </w:tc>
      </w:tr>
    </w:tbl>
    <w:p>
      <w:pPr>
        <w:spacing w:after="0" w:before="200"/>
      </w:pPr>
      <w:r>
        <w:t xml:space="preserve"/>
      </w:r>
    </w:p>
    <w:p>
      <w:pPr>
        <w:spacing w:after="0" w:before="40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F3864" w:val="clear"/>
            <w:tcMar>
              <w:top w:type="dxa" w:w="100"/>
              <w:left w:type="dxa" w:w="240"/>
              <w:bottom w:type="dxa" w:w="100"/>
              <w:right w:type="dxa" w:w="240"/>
            </w:tcMar>
          </w:tcPr>
          <w:p>
            <w:pPr>
              <w:spacing w:after="60" w:before="60"/>
            </w:pPr>
            <w:r>
              <w:rPr>
                <w:rFonts w:ascii="Arial" w:cs="Arial" w:eastAsia="Arial" w:hAnsi="Arial"/>
                <w:b/>
                <w:bCs/>
                <w:i w:val="false"/>
                <w:iCs w:val="false"/>
                <w:color w:val="00ACC1"/>
                <w:sz w:val="22"/>
                <w:szCs w:val="22"/>
              </w:rPr>
              <w:t xml:space="preserve">7.  </w:t>
            </w:r>
            <w:r>
              <w:rPr>
                <w:rFonts w:ascii="Arial" w:cs="Arial" w:eastAsia="Arial" w:hAnsi="Arial"/>
                <w:b/>
                <w:bCs/>
                <w:i w:val="false"/>
                <w:iCs w:val="false"/>
                <w:color w:val="FFFFFF"/>
                <w:sz w:val="22"/>
                <w:szCs w:val="22"/>
              </w:rPr>
              <w:t xml:space="preserve">REVISION LOG</w:t>
            </w:r>
          </w:p>
        </w:tc>
      </w:tr>
    </w:tbl>
    <w:p>
      <w:pPr>
        <w:spacing w:after="0" w:before="200"/>
      </w:pPr>
      <w:r>
        <w:t xml:space="preserve"/>
      </w:r>
    </w:p>
    <w:p>
      <w:pPr>
        <w:spacing w:after="120" w:before="0" w:line="320"/>
      </w:pPr>
      <w:r>
        <w:rPr>
          <w:rFonts w:ascii="Arial" w:cs="Arial" w:eastAsia="Arial" w:hAnsi="Arial"/>
          <w:b w:val="false"/>
          <w:bCs w:val="false"/>
          <w:i w:val="false"/>
          <w:iCs w:val="false"/>
          <w:color w:val="1A1A1A"/>
          <w:sz w:val="19"/>
          <w:szCs w:val="19"/>
        </w:rPr>
        <w:t xml:space="preserve">Add entries here as new decisions are made. Most recent entry at the top.</w:t>
      </w:r>
    </w:p>
    <w:p>
      <w:pPr>
        <w:spacing w:after="0" w:before="14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400"/>
        <w:gridCol w:w="2400"/>
        <w:gridCol w:w="5560"/>
      </w:tblGrid>
      <w:tr>
        <w:tc>
          <w:tcPr>
            <w:tcW w:type="dxa" w:w="1400"/>
            <w:tcBorders>
              <w:top w:val="single" w:color="CCCCCC" w:sz="1"/>
              <w:left w:val="single" w:color="CCCCCC" w:sz="1"/>
              <w:bottom w:val="single" w:color="CCCCCC" w:sz="1"/>
              <w:right w:val="single" w:color="CCCCCC" w:sz="1"/>
            </w:tcBorders>
            <w:shd w:fill="2E5FAB" w:val="clear"/>
            <w:tcMar>
              <w:top w:type="dxa" w:w="80"/>
              <w:left w:type="dxa" w:w="140"/>
              <w:bottom w:type="dxa" w:w="80"/>
              <w:right w:type="dxa" w:w="100"/>
            </w:tcMar>
          </w:tcPr>
          <w:p>
            <w:r>
              <w:rPr>
                <w:rFonts w:ascii="Arial" w:cs="Arial" w:eastAsia="Arial" w:hAnsi="Arial"/>
                <w:b/>
                <w:bCs/>
                <w:i w:val="false"/>
                <w:iCs w:val="false"/>
                <w:color w:val="FFFFFF"/>
                <w:sz w:val="17"/>
                <w:szCs w:val="17"/>
              </w:rPr>
              <w:t xml:space="preserve">Date</w:t>
            </w:r>
          </w:p>
        </w:tc>
        <w:tc>
          <w:tcPr>
            <w:tcW w:type="dxa" w:w="2400"/>
            <w:tcBorders>
              <w:top w:val="single" w:color="CCCCCC" w:sz="1"/>
              <w:left w:val="single" w:color="CCCCCC" w:sz="1"/>
              <w:bottom w:val="single" w:color="CCCCCC" w:sz="1"/>
              <w:right w:val="single" w:color="CCCCCC" w:sz="1"/>
            </w:tcBorders>
            <w:shd w:fill="2E5FAB" w:val="clear"/>
            <w:tcMar>
              <w:top w:type="dxa" w:w="80"/>
              <w:left w:type="dxa" w:w="140"/>
              <w:bottom w:type="dxa" w:w="80"/>
              <w:right w:type="dxa" w:w="100"/>
            </w:tcMar>
          </w:tcPr>
          <w:p>
            <w:r>
              <w:rPr>
                <w:rFonts w:ascii="Arial" w:cs="Arial" w:eastAsia="Arial" w:hAnsi="Arial"/>
                <w:b/>
                <w:bCs/>
                <w:i w:val="false"/>
                <w:iCs w:val="false"/>
                <w:color w:val="FFFFFF"/>
                <w:sz w:val="17"/>
                <w:szCs w:val="17"/>
              </w:rPr>
              <w:t xml:space="preserve">Topic</w:t>
            </w:r>
          </w:p>
        </w:tc>
        <w:tc>
          <w:tcPr>
            <w:tcW w:type="dxa" w:w="5560"/>
            <w:tcBorders>
              <w:top w:val="single" w:color="CCCCCC" w:sz="1"/>
              <w:left w:val="single" w:color="CCCCCC" w:sz="1"/>
              <w:bottom w:val="single" w:color="CCCCCC" w:sz="1"/>
              <w:right w:val="single" w:color="CCCCCC" w:sz="1"/>
            </w:tcBorders>
            <w:shd w:fill="2E5FAB" w:val="clear"/>
            <w:tcMar>
              <w:top w:type="dxa" w:w="80"/>
              <w:left w:type="dxa" w:w="140"/>
              <w:bottom w:type="dxa" w:w="80"/>
              <w:right w:type="dxa" w:w="100"/>
            </w:tcMar>
          </w:tcPr>
          <w:p>
            <w:r>
              <w:rPr>
                <w:rFonts w:ascii="Arial" w:cs="Arial" w:eastAsia="Arial" w:hAnsi="Arial"/>
                <w:b/>
                <w:bCs/>
                <w:i w:val="false"/>
                <w:iCs w:val="false"/>
                <w:color w:val="FFFFFF"/>
                <w:sz w:val="17"/>
                <w:szCs w:val="17"/>
              </w:rPr>
              <w:t xml:space="preserve">Entry</w:t>
            </w:r>
          </w:p>
        </w:tc>
      </w:tr>
      <w:tr>
        <w:tc>
          <w:tcPr>
            <w:tcW w:type="dxa" w:w="14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April 22, 2026</w:t>
            </w:r>
          </w:p>
        </w:tc>
        <w:tc>
          <w:tcPr>
            <w:tcW w:type="dxa" w:w="24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Gate entry documents</w:t>
            </w:r>
          </w:p>
        </w:tc>
        <w:tc>
          <w:tcPr>
            <w:tcW w:type="dxa" w:w="556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Per-phase gate documents G0-G7 built and committed to 03_phase_gates/ subfolders. Each document contains phase overview, gate entry criteria checklist, and sign-off record. Phase-specific reference to Rack Phased Development Plan Rev 1.2.</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April 22, 2026</w:t>
            </w:r>
          </w:p>
        </w:tc>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Repo restructure</w:t>
            </w:r>
          </w:p>
        </w:tc>
        <w:tc>
          <w:tcPr>
            <w:tcW w:type="dxa" w:w="55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Repository folder hierarchy reorganized. 00_preface at root level. 03_phase_gates added with g0-g7 subfolders. All numbered folders renumbered 00-11 to reflect new hierarchy. project_management remains unnumbered at root. .gitignore updated — large vendor files excluded from new path.</w:t>
            </w:r>
          </w:p>
        </w:tc>
      </w:tr>
      <w:tr>
        <w:tc>
          <w:tcPr>
            <w:tcW w:type="dxa" w:w="14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April 22, 2026</w:t>
            </w:r>
          </w:p>
        </w:tc>
        <w:tc>
          <w:tcPr>
            <w:tcW w:type="dxa" w:w="24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MaintainX CMMS Strategy Rev 1.1</w:t>
            </w:r>
          </w:p>
        </w:tc>
        <w:tc>
          <w:tcPr>
            <w:tcW w:type="dxa" w:w="556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Updated to eight-phase gate structure. G2 IIoT Stack and G4 Physical System Expansion phases added. Rack split reference removed. G7 Independence Validation added. Per-phase implementation detail references added. Committed to 10_maintainx_implementation/.</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April 22, 2026</w:t>
            </w:r>
          </w:p>
        </w:tc>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Rotary vane pump specified</w:t>
            </w:r>
          </w:p>
        </w:tc>
        <w:tc>
          <w:tcPr>
            <w:tcW w:type="dxa" w:w="55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Rotary vane pump confirmed for operator panel rack pump module. Tolerates full fault injection test matrix — flow restriction, near-deadhead, mechanical imbalance, thermal elevation. 1/3HP motor on PowerFlex 525 VFD.</w:t>
            </w:r>
          </w:p>
        </w:tc>
      </w:tr>
      <w:tr>
        <w:tc>
          <w:tcPr>
            <w:tcW w:type="dxa" w:w="14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April 22, 2026</w:t>
            </w:r>
          </w:p>
        </w:tc>
        <w:tc>
          <w:tcPr>
            <w:tcW w:type="dxa" w:w="24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Project scope Rev 1.2</w:t>
            </w:r>
          </w:p>
        </w:tc>
        <w:tc>
          <w:tcPr>
            <w:tcW w:type="dxa" w:w="556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Updated to eight-phase gate structure. Independence validation added as Objective 11 and scope item. WireGuard replaced by Tailscale. EPIC in operator panel rack. PowerFlex inventory corrected. Committed to 02_project_scope/.</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April 22, 2026</w:t>
            </w:r>
          </w:p>
        </w:tc>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Phased development plan Rev 1.2</w:t>
            </w:r>
          </w:p>
        </w:tc>
        <w:tc>
          <w:tcPr>
            <w:tcW w:type="dxa" w:w="55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Rebuilt with eight-phase gate structure G0-G7. Gate entry criteria added to each phase. Gate sign-off record table added. Phase 2 expanded to NAS and Tailscale. Phase 7 Independence Validation added as final gate. Committed to 06_rack_documentation/rack_phased_development_plan/.</w:t>
            </w:r>
          </w:p>
        </w:tc>
      </w:tr>
      <w:tr>
        <w:tc>
          <w:tcPr>
            <w:tcW w:type="dxa" w:w="14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April 2026</w:t>
            </w:r>
          </w:p>
        </w:tc>
        <w:tc>
          <w:tcPr>
            <w:tcW w:type="dxa" w:w="24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Phase gate structure</w:t>
            </w:r>
          </w:p>
        </w:tc>
        <w:tc>
          <w:tcPr>
            <w:tcW w:type="dxa" w:w="556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Eight-phase gate structure confirmed G0-G7. Phase names locked. Gate entry criteria defined for all eight gates. Gate G7 Independence Validation is the final gate — colleague-executed independence exercise using documentation only. See Section 9.</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April 2026</w:t>
            </w:r>
          </w:p>
        </w:tc>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Tailscale remote access</w:t>
            </w:r>
          </w:p>
        </w:tc>
        <w:tc>
          <w:tcPr>
            <w:tcW w:type="dxa" w:w="55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WireGuard port forwarding replaced by Tailscale mesh. No public IP exposure. No open ports on home router. Eliminates ransomware attack surface from publicly discoverable endpoint. Phase 2 infrastructure item.</w:t>
            </w:r>
          </w:p>
        </w:tc>
      </w:tr>
      <w:tr>
        <w:tc>
          <w:tcPr>
            <w:tcW w:type="dxa" w:w="14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April 2026</w:t>
            </w:r>
          </w:p>
        </w:tc>
        <w:tc>
          <w:tcPr>
            <w:tcW w:type="dxa" w:w="24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PowerFlex inventory</w:t>
            </w:r>
          </w:p>
        </w:tc>
        <w:tc>
          <w:tcPr>
            <w:tcW w:type="dxa" w:w="556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PowerFlex 4 ×1 confirmed in 42U rack — Modbus RTU. PowerFlex 525 ×1 in operator panel rack — EtherNet/IP — 0.5HP pump motor. PowerFlex 4 ×2 listed on eBay — $400-500 recovery expected.</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April 2026</w:t>
            </w:r>
          </w:p>
        </w:tc>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CrowPi kit</w:t>
            </w:r>
          </w:p>
        </w:tc>
        <w:tc>
          <w:tcPr>
            <w:tcW w:type="dxa" w:w="55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Elecrow CrowPi — Pi 5 8GB — 9" touchscreen — $300. Desktop HMI/tester/CODESYS soft PLC. Node-RED Dashboard as touchscreen operator interface. Connects to Cisco switch for PLC program testing. Works standalone with CODESYS runtime.</w:t>
            </w:r>
          </w:p>
        </w:tc>
      </w:tr>
      <w:tr>
        <w:tc>
          <w:tcPr>
            <w:tcW w:type="dxa" w:w="14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April 2026</w:t>
            </w:r>
          </w:p>
        </w:tc>
        <w:tc>
          <w:tcPr>
            <w:tcW w:type="dxa" w:w="24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SQL database</w:t>
            </w:r>
          </w:p>
        </w:tc>
        <w:tc>
          <w:tcPr>
            <w:tcW w:type="dxa" w:w="556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MariaDB LXC container planned on AOOSTAR NAS. Purpose: shift/schedule management, equipment master data, Site 1/Site 2 production reconciliation. Not competing with PLC data layer. Complements InfluxDB time series historian.</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April 15, 2026</w:t>
            </w:r>
          </w:p>
        </w:tc>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Operator panel rack</w:t>
            </w:r>
          </w:p>
        </w:tc>
        <w:tc>
          <w:tcPr>
            <w:tcW w:type="dxa" w:w="55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Confirmed as mobile demonstration unit. Contains EPIC, PanelView 800, TBD HMI, physical I/O, PowerFlex 525 VFD, pump, motor, reservoir, piping, AL1590, IO-Link sensors. 42U rack stays intact. Phase 3 rack split concept removed.</w:t>
            </w:r>
          </w:p>
        </w:tc>
      </w:tr>
      <w:tr>
        <w:tc>
          <w:tcPr>
            <w:tcW w:type="dxa" w:w="14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April 15, 2026</w:t>
            </w:r>
          </w:p>
        </w:tc>
        <w:tc>
          <w:tcPr>
            <w:tcW w:type="dxa" w:w="24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Protocol count</w:t>
            </w:r>
          </w:p>
        </w:tc>
        <w:tc>
          <w:tcPr>
            <w:tcW w:type="dxa" w:w="556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Confirmed 13 protocols. PROFIsafe removed. Red Lion G310 removed. CAN/CANopen not used. DH-485 confirmed with RS-232 splitter (~$20). S7 PUT/GET confirmed active.</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April 15, 2026</w:t>
            </w:r>
          </w:p>
        </w:tc>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GitHub repo</w:t>
            </w:r>
          </w:p>
        </w:tc>
        <w:tc>
          <w:tcPr>
            <w:tcW w:type="dxa" w:w="55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Repository created — github.com/JeremySField/loogootee-mfg-training-simulation. README, .gitignore, MIT license committed. Project folder structure established.</w:t>
            </w:r>
          </w:p>
        </w:tc>
      </w:tr>
      <w:tr>
        <w:tc>
          <w:tcPr>
            <w:tcW w:type="dxa" w:w="14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April 15, 2026</w:t>
            </w:r>
          </w:p>
        </w:tc>
        <w:tc>
          <w:tcPr>
            <w:tcW w:type="dxa" w:w="24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IPC removal</w:t>
            </w:r>
          </w:p>
        </w:tc>
        <w:tc>
          <w:tcPr>
            <w:tcW w:type="dxa" w:w="556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Industrial PC confirmed removed from rack — repurposed for home use. AOOSTAR NAS / Proxmox is sole IIoT stack host. Programming software stays on laptop.</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April 14, 2026</w:t>
            </w:r>
          </w:p>
        </w:tc>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Architecture finalized</w:t>
            </w:r>
          </w:p>
        </w:tc>
        <w:tc>
          <w:tcPr>
            <w:tcW w:type="dxa" w:w="55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Five-layer stack confirmed. Single broker, single calculation engine (Ignition), single historian (InfluxDB). Telegraf as bridge. Grafana read-only. groov View in transport layer. PanelView 800 not a UNS participant. Nine ADRs documented.</w:t>
            </w:r>
          </w:p>
        </w:tc>
      </w:tr>
    </w:tbl>
    <w:p>
      <w:pPr>
        <w:spacing w:after="0" w:before="40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F3864" w:val="clear"/>
            <w:tcMar>
              <w:top w:type="dxa" w:w="100"/>
              <w:left w:type="dxa" w:w="240"/>
              <w:bottom w:type="dxa" w:w="100"/>
              <w:right w:type="dxa" w:w="240"/>
            </w:tcMar>
          </w:tcPr>
          <w:p>
            <w:pPr>
              <w:spacing w:after="60" w:before="60"/>
            </w:pPr>
            <w:r>
              <w:rPr>
                <w:rFonts w:ascii="Arial" w:cs="Arial" w:eastAsia="Arial" w:hAnsi="Arial"/>
                <w:b/>
                <w:bCs/>
                <w:i w:val="false"/>
                <w:iCs w:val="false"/>
                <w:color w:val="00ACC1"/>
                <w:sz w:val="22"/>
                <w:szCs w:val="22"/>
              </w:rPr>
              <w:t xml:space="preserve">8.  </w:t>
            </w:r>
            <w:r>
              <w:rPr>
                <w:rFonts w:ascii="Arial" w:cs="Arial" w:eastAsia="Arial" w:hAnsi="Arial"/>
                <w:b/>
                <w:bCs/>
                <w:i w:val="false"/>
                <w:iCs w:val="false"/>
                <w:color w:val="FFFFFF"/>
                <w:sz w:val="22"/>
                <w:szCs w:val="22"/>
              </w:rPr>
              <w:t xml:space="preserve">DOCUMENT INFORMATION</w:t>
            </w:r>
          </w:p>
        </w:tc>
      </w:tr>
    </w:tbl>
    <w:p>
      <w:pPr>
        <w:spacing w:after="0" w:before="20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600"/>
        <w:gridCol w:w="6760"/>
      </w:tblGrid>
      <w:tr>
        <w:tc>
          <w:tcPr>
            <w:tcW w:type="dxa" w:w="2600"/>
            <w:tcBorders>
              <w:top w:val="single" w:color="CCCCCC" w:sz="1"/>
              <w:left w:val="single" w:color="CCCCCC" w:sz="1"/>
              <w:bottom w:val="single" w:color="CCCCCC" w:sz="1"/>
              <w:right w:val="single" w:color="CCCCCC" w:sz="1"/>
            </w:tcBorders>
            <w:shd w:fill="EEF2F8" w:val="clear"/>
            <w:tcMar>
              <w:top w:type="dxa" w:w="80"/>
              <w:left w:type="dxa" w:w="140"/>
              <w:bottom w:type="dxa" w:w="80"/>
              <w:right w:type="dxa" w:w="100"/>
            </w:tcMar>
          </w:tcPr>
          <w:p>
            <w:r>
              <w:rPr>
                <w:rFonts w:ascii="Arial" w:cs="Arial" w:eastAsia="Arial" w:hAnsi="Arial"/>
                <w:b/>
                <w:bCs/>
                <w:i w:val="false"/>
                <w:iCs w:val="false"/>
                <w:color w:val="1F3864"/>
                <w:sz w:val="17"/>
                <w:szCs w:val="17"/>
              </w:rPr>
              <w:t xml:space="preserve">Document Title</w:t>
            </w:r>
          </w:p>
        </w:tc>
        <w:tc>
          <w:tcPr>
            <w:tcW w:type="dxa" w:w="6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Project Status and Open Revisions — Living Document</w:t>
            </w:r>
          </w:p>
        </w:tc>
      </w:tr>
      <w:tr>
        <w:tc>
          <w:tcPr>
            <w:tcW w:type="dxa" w:w="26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bCs/>
                <w:i w:val="false"/>
                <w:iCs w:val="false"/>
                <w:color w:val="1F3864"/>
                <w:sz w:val="17"/>
                <w:szCs w:val="17"/>
              </w:rPr>
              <w:t xml:space="preserve">Project</w:t>
            </w:r>
          </w:p>
        </w:tc>
        <w:tc>
          <w:tcPr>
            <w:tcW w:type="dxa" w:w="6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Loogootee Manufacturing Training Simulation</w:t>
            </w:r>
          </w:p>
        </w:tc>
      </w:tr>
      <w:tr>
        <w:tc>
          <w:tcPr>
            <w:tcW w:type="dxa" w:w="2600"/>
            <w:tcBorders>
              <w:top w:val="single" w:color="CCCCCC" w:sz="1"/>
              <w:left w:val="single" w:color="CCCCCC" w:sz="1"/>
              <w:bottom w:val="single" w:color="CCCCCC" w:sz="1"/>
              <w:right w:val="single" w:color="CCCCCC" w:sz="1"/>
            </w:tcBorders>
            <w:shd w:fill="EEF2F8" w:val="clear"/>
            <w:tcMar>
              <w:top w:type="dxa" w:w="80"/>
              <w:left w:type="dxa" w:w="140"/>
              <w:bottom w:type="dxa" w:w="80"/>
              <w:right w:type="dxa" w:w="100"/>
            </w:tcMar>
          </w:tcPr>
          <w:p>
            <w:r>
              <w:rPr>
                <w:rFonts w:ascii="Arial" w:cs="Arial" w:eastAsia="Arial" w:hAnsi="Arial"/>
                <w:b/>
                <w:bCs/>
                <w:i w:val="false"/>
                <w:iCs w:val="false"/>
                <w:color w:val="1F3864"/>
                <w:sz w:val="17"/>
                <w:szCs w:val="17"/>
              </w:rPr>
              <w:t xml:space="preserve">Maintained By</w:t>
            </w:r>
          </w:p>
        </w:tc>
        <w:tc>
          <w:tcPr>
            <w:tcW w:type="dxa" w:w="6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Jeremy Field — Loogootee Mfg. Training Simulation</w:t>
            </w:r>
          </w:p>
        </w:tc>
      </w:tr>
      <w:tr>
        <w:tc>
          <w:tcPr>
            <w:tcW w:type="dxa" w:w="26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bCs/>
                <w:i w:val="false"/>
                <w:iCs w:val="false"/>
                <w:color w:val="1F3864"/>
                <w:sz w:val="17"/>
                <w:szCs w:val="17"/>
              </w:rPr>
              <w:t xml:space="preserve">Location</w:t>
            </w:r>
          </w:p>
        </w:tc>
        <w:tc>
          <w:tcPr>
            <w:tcW w:type="dxa" w:w="6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project_management/ folder — root level</w:t>
            </w:r>
          </w:p>
        </w:tc>
      </w:tr>
      <w:tr>
        <w:tc>
          <w:tcPr>
            <w:tcW w:type="dxa" w:w="2600"/>
            <w:tcBorders>
              <w:top w:val="single" w:color="CCCCCC" w:sz="1"/>
              <w:left w:val="single" w:color="CCCCCC" w:sz="1"/>
              <w:bottom w:val="single" w:color="CCCCCC" w:sz="1"/>
              <w:right w:val="single" w:color="CCCCCC" w:sz="1"/>
            </w:tcBorders>
            <w:shd w:fill="EEF2F8" w:val="clear"/>
            <w:tcMar>
              <w:top w:type="dxa" w:w="80"/>
              <w:left w:type="dxa" w:w="140"/>
              <w:bottom w:type="dxa" w:w="80"/>
              <w:right w:type="dxa" w:w="100"/>
            </w:tcMar>
          </w:tcPr>
          <w:p>
            <w:r>
              <w:rPr>
                <w:rFonts w:ascii="Arial" w:cs="Arial" w:eastAsia="Arial" w:hAnsi="Arial"/>
                <w:b/>
                <w:bCs/>
                <w:i w:val="false"/>
                <w:iCs w:val="false"/>
                <w:color w:val="1F3864"/>
                <w:sz w:val="17"/>
                <w:szCs w:val="17"/>
              </w:rPr>
              <w:t xml:space="preserve">Repository</w:t>
            </w:r>
          </w:p>
        </w:tc>
        <w:tc>
          <w:tcPr>
            <w:tcW w:type="dxa" w:w="6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github.com/JeremySField/loogootee-mfg-training-simulation</w:t>
            </w:r>
          </w:p>
        </w:tc>
      </w:tr>
      <w:tr>
        <w:tc>
          <w:tcPr>
            <w:tcW w:type="dxa" w:w="26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bCs/>
                <w:i w:val="false"/>
                <w:iCs w:val="false"/>
                <w:color w:val="1F3864"/>
                <w:sz w:val="17"/>
                <w:szCs w:val="17"/>
              </w:rPr>
              <w:t xml:space="preserve">Update Cadence</w:t>
            </w:r>
          </w:p>
        </w:tc>
        <w:tc>
          <w:tcPr>
            <w:tcW w:type="dxa" w:w="6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Updated continuously as decisions are made. No formal revision cycle. Formal document revisions happen separately at consolidation points.</w:t>
            </w:r>
          </w:p>
        </w:tc>
      </w:tr>
      <w:tr>
        <w:tc>
          <w:tcPr>
            <w:tcW w:type="dxa" w:w="2600"/>
            <w:tcBorders>
              <w:top w:val="single" w:color="CCCCCC" w:sz="1"/>
              <w:left w:val="single" w:color="CCCCCC" w:sz="1"/>
              <w:bottom w:val="single" w:color="CCCCCC" w:sz="1"/>
              <w:right w:val="single" w:color="CCCCCC" w:sz="1"/>
            </w:tcBorders>
            <w:shd w:fill="EEF2F8" w:val="clear"/>
            <w:tcMar>
              <w:top w:type="dxa" w:w="80"/>
              <w:left w:type="dxa" w:w="140"/>
              <w:bottom w:type="dxa" w:w="80"/>
              <w:right w:type="dxa" w:w="100"/>
            </w:tcMar>
          </w:tcPr>
          <w:p>
            <w:r>
              <w:rPr>
                <w:rFonts w:ascii="Arial" w:cs="Arial" w:eastAsia="Arial" w:hAnsi="Arial"/>
                <w:b/>
                <w:bCs/>
                <w:i w:val="false"/>
                <w:iCs w:val="false"/>
                <w:color w:val="1F3864"/>
                <w:sz w:val="17"/>
                <w:szCs w:val="17"/>
              </w:rPr>
              <w:t xml:space="preserve">Purpose</w:t>
            </w:r>
          </w:p>
        </w:tc>
        <w:tc>
          <w:tcPr>
            <w:tcW w:type="dxa" w:w="6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Single reference for project current state, open revisions, pending decisions, hardware status, and action items. Section 9 contains the phase gate criteria governing project execution.</w:t>
            </w:r>
          </w:p>
        </w:tc>
      </w:tr>
    </w:tbl>
    <w:p>
      <w:pPr>
        <w:spacing w:after="0" w:before="40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F3864" w:val="clear"/>
            <w:tcMar>
              <w:top w:type="dxa" w:w="100"/>
              <w:left w:type="dxa" w:w="240"/>
              <w:bottom w:type="dxa" w:w="100"/>
              <w:right w:type="dxa" w:w="240"/>
            </w:tcMar>
          </w:tcPr>
          <w:p>
            <w:pPr>
              <w:spacing w:after="60" w:before="60"/>
            </w:pPr>
            <w:r>
              <w:rPr>
                <w:rFonts w:ascii="Arial" w:cs="Arial" w:eastAsia="Arial" w:hAnsi="Arial"/>
                <w:b/>
                <w:bCs/>
                <w:i w:val="false"/>
                <w:iCs w:val="false"/>
                <w:color w:val="00ACC1"/>
                <w:sz w:val="22"/>
                <w:szCs w:val="22"/>
              </w:rPr>
              <w:t xml:space="preserve">9.  </w:t>
            </w:r>
            <w:r>
              <w:rPr>
                <w:rFonts w:ascii="Arial" w:cs="Arial" w:eastAsia="Arial" w:hAnsi="Arial"/>
                <w:b/>
                <w:bCs/>
                <w:i w:val="false"/>
                <w:iCs w:val="false"/>
                <w:color w:val="FFFFFF"/>
                <w:sz w:val="22"/>
                <w:szCs w:val="22"/>
              </w:rPr>
              <w:t xml:space="preserve">PHASE GATE STRUCTURE AND ENTRY CRITERIA</w:t>
            </w:r>
          </w:p>
        </w:tc>
      </w:tr>
    </w:tbl>
    <w:p>
      <w:pPr>
        <w:spacing w:after="0" w:before="200"/>
      </w:pPr>
      <w:r>
        <w:t xml:space="preserve"/>
      </w:r>
    </w:p>
    <w:p>
      <w:pPr>
        <w:spacing w:after="120" w:before="0" w:line="320"/>
      </w:pPr>
      <w:r>
        <w:rPr>
          <w:rFonts w:ascii="Arial" w:cs="Arial" w:eastAsia="Arial" w:hAnsi="Arial"/>
          <w:b w:val="false"/>
          <w:bCs w:val="false"/>
          <w:i w:val="false"/>
          <w:iCs w:val="false"/>
          <w:color w:val="1A1A1A"/>
          <w:sz w:val="19"/>
          <w:szCs w:val="19"/>
        </w:rPr>
        <w:t xml:space="preserve">The Loogootee Manufacturing training simulation is executed under a phase-gated project discipline. Each phase has a defined name, purpose, and set of measurable entry criteria that must be satisfied before the next phase is authorized to begin. No phase commences before the preceding gate is passed. Gate passage is documented in the project record.</w:t>
      </w:r>
    </w:p>
    <w:p>
      <w:pPr>
        <w:spacing w:after="0" w:before="120"/>
      </w:pPr>
      <w:r>
        <w:t xml:space="preserve"/>
      </w:r>
    </w:p>
    <w:p>
      <w:pPr>
        <w:spacing w:after="120" w:before="0" w:line="320"/>
      </w:pPr>
      <w:r>
        <w:rPr>
          <w:rFonts w:ascii="Arial" w:cs="Arial" w:eastAsia="Arial" w:hAnsi="Arial"/>
          <w:b w:val="false"/>
          <w:bCs w:val="false"/>
          <w:i w:val="false"/>
          <w:iCs w:val="false"/>
          <w:color w:val="1A1A1A"/>
          <w:sz w:val="19"/>
          <w:szCs w:val="19"/>
        </w:rPr>
        <w:t xml:space="preserve">This discipline serves two concurrent purposes: rigorous execution of the training simulation as a professional project, and collection of validation data across all eight phases. The final gate — G7 Independence Validation and Project Closeout — is the most important gate. It requires a colleague with no prior knowledge of the build to successfully extend the system using only the project documentation, without integrator assistance. The outcome of that exercise validates whether the documentation package genuinely enables independent operation.</w:t>
      </w:r>
    </w:p>
    <w:p>
      <w:pPr>
        <w:spacing w:after="0" w:before="14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800"/>
        <w:gridCol w:w="3200"/>
        <w:gridCol w:w="5360"/>
      </w:tblGrid>
      <w:tr>
        <w:tc>
          <w:tcPr>
            <w:tcW w:type="dxa" w:w="800"/>
            <w:tcBorders>
              <w:top w:val="single" w:color="CCCCCC" w:sz="1"/>
              <w:left w:val="single" w:color="CCCCCC" w:sz="1"/>
              <w:bottom w:val="single" w:color="CCCCCC" w:sz="1"/>
              <w:right w:val="single" w:color="CCCCCC" w:sz="1"/>
            </w:tcBorders>
            <w:shd w:fill="2E5FAB" w:val="clear"/>
            <w:tcMar>
              <w:top w:type="dxa" w:w="80"/>
              <w:left w:type="dxa" w:w="140"/>
              <w:bottom w:type="dxa" w:w="80"/>
              <w:right w:type="dxa" w:w="100"/>
            </w:tcMar>
          </w:tcPr>
          <w:p>
            <w:r>
              <w:rPr>
                <w:rFonts w:ascii="Arial" w:cs="Arial" w:eastAsia="Arial" w:hAnsi="Arial"/>
                <w:b/>
                <w:bCs/>
                <w:i w:val="false"/>
                <w:iCs w:val="false"/>
                <w:color w:val="FFFFFF"/>
                <w:sz w:val="17"/>
                <w:szCs w:val="17"/>
              </w:rPr>
              <w:t xml:space="preserve">Gate</w:t>
            </w:r>
          </w:p>
        </w:tc>
        <w:tc>
          <w:tcPr>
            <w:tcW w:type="dxa" w:w="3200"/>
            <w:tcBorders>
              <w:top w:val="single" w:color="CCCCCC" w:sz="1"/>
              <w:left w:val="single" w:color="CCCCCC" w:sz="1"/>
              <w:bottom w:val="single" w:color="CCCCCC" w:sz="1"/>
              <w:right w:val="single" w:color="CCCCCC" w:sz="1"/>
            </w:tcBorders>
            <w:shd w:fill="2E5FAB" w:val="clear"/>
            <w:tcMar>
              <w:top w:type="dxa" w:w="80"/>
              <w:left w:type="dxa" w:w="140"/>
              <w:bottom w:type="dxa" w:w="80"/>
              <w:right w:type="dxa" w:w="100"/>
            </w:tcMar>
          </w:tcPr>
          <w:p>
            <w:r>
              <w:rPr>
                <w:rFonts w:ascii="Arial" w:cs="Arial" w:eastAsia="Arial" w:hAnsi="Arial"/>
                <w:b/>
                <w:bCs/>
                <w:i w:val="false"/>
                <w:iCs w:val="false"/>
                <w:color w:val="FFFFFF"/>
                <w:sz w:val="17"/>
                <w:szCs w:val="17"/>
              </w:rPr>
              <w:t xml:space="preserve">Phase Name</w:t>
            </w:r>
          </w:p>
        </w:tc>
        <w:tc>
          <w:tcPr>
            <w:tcW w:type="dxa" w:w="5360"/>
            <w:tcBorders>
              <w:top w:val="single" w:color="CCCCCC" w:sz="1"/>
              <w:left w:val="single" w:color="CCCCCC" w:sz="1"/>
              <w:bottom w:val="single" w:color="CCCCCC" w:sz="1"/>
              <w:right w:val="single" w:color="CCCCCC" w:sz="1"/>
            </w:tcBorders>
            <w:shd w:fill="2E5FAB" w:val="clear"/>
            <w:tcMar>
              <w:top w:type="dxa" w:w="80"/>
              <w:left w:type="dxa" w:w="140"/>
              <w:bottom w:type="dxa" w:w="80"/>
              <w:right w:type="dxa" w:w="100"/>
            </w:tcMar>
          </w:tcPr>
          <w:p>
            <w:r>
              <w:rPr>
                <w:rFonts w:ascii="Arial" w:cs="Arial" w:eastAsia="Arial" w:hAnsi="Arial"/>
                <w:b/>
                <w:bCs/>
                <w:i w:val="false"/>
                <w:iCs w:val="false"/>
                <w:color w:val="FFFFFF"/>
                <w:sz w:val="17"/>
                <w:szCs w:val="17"/>
              </w:rPr>
              <w:t xml:space="preserve">Purpose</w:t>
            </w:r>
          </w:p>
        </w:tc>
      </w:tr>
      <w:tr>
        <w:tc>
          <w:tcPr>
            <w:tcW w:type="dxa" w:w="8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G0</w:t>
            </w:r>
          </w:p>
        </w:tc>
        <w:tc>
          <w:tcPr>
            <w:tcW w:type="dxa" w:w="32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Project Initiation and Architecture Definition</w:t>
            </w:r>
          </w:p>
        </w:tc>
        <w:tc>
          <w:tcPr>
            <w:tcW w:type="dxa" w:w="536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Foundation confirmed — scope, architecture, documentation, version control all established before programming begins.</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G1</w:t>
            </w:r>
          </w:p>
        </w:tc>
        <w:tc>
          <w:tcPr>
            <w:tcW w:type="dxa" w:w="3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Controller Commissioning and UNS Integration</w:t>
            </w:r>
          </w:p>
        </w:tc>
        <w:tc>
          <w:tcPr>
            <w:tcW w:type="dxa" w:w="53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All 11 controllers programmed, simulation running, all data publishing verified to broker before IIoT stack is built.</w:t>
            </w:r>
          </w:p>
        </w:tc>
      </w:tr>
      <w:tr>
        <w:tc>
          <w:tcPr>
            <w:tcW w:type="dxa" w:w="8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G2</w:t>
            </w:r>
          </w:p>
        </w:tc>
        <w:tc>
          <w:tcPr>
            <w:tcW w:type="dxa" w:w="32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IIoT Stack Deployment and Network Security</w:t>
            </w:r>
          </w:p>
        </w:tc>
        <w:tc>
          <w:tcPr>
            <w:tcW w:type="dxa" w:w="536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NAS commissioned, full stack operational, Tailscale configured, security zones verified before visualization is built.</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G3</w:t>
            </w:r>
          </w:p>
        </w:tc>
        <w:tc>
          <w:tcPr>
            <w:tcW w:type="dxa" w:w="3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Production Visibility and Historian</w:t>
            </w:r>
          </w:p>
        </w:tc>
        <w:tc>
          <w:tcPr>
            <w:tcW w:type="dxa" w:w="53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Dashboards complete, OEE calculating, historian accumulating before physical system expansion begins.</w:t>
            </w:r>
          </w:p>
        </w:tc>
      </w:tr>
      <w:tr>
        <w:tc>
          <w:tcPr>
            <w:tcW w:type="dxa" w:w="8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G4</w:t>
            </w:r>
          </w:p>
        </w:tc>
        <w:tc>
          <w:tcPr>
            <w:tcW w:type="dxa" w:w="32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Physical System Expansion and UNS Extensibility</w:t>
            </w:r>
          </w:p>
        </w:tc>
        <w:tc>
          <w:tcPr>
            <w:tcW w:type="dxa" w:w="536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Operator panel rack commissioned and connected — UNS extensibility demonstrated with real hardware before sensors are added.</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G5</w:t>
            </w:r>
          </w:p>
        </w:tc>
        <w:tc>
          <w:tcPr>
            <w:tcW w:type="dxa" w:w="3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IO-Link Smart Sensors and Process Integration</w:t>
            </w:r>
          </w:p>
        </w:tc>
        <w:tc>
          <w:tcPr>
            <w:tcW w:type="dxa" w:w="53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All sensors operational, baseline established, three integration patterns confirmed before predictive maintenance is configured.</w:t>
            </w:r>
          </w:p>
        </w:tc>
      </w:tr>
      <w:tr>
        <w:tc>
          <w:tcPr>
            <w:tcW w:type="dxa" w:w="8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G6</w:t>
            </w:r>
          </w:p>
        </w:tc>
        <w:tc>
          <w:tcPr>
            <w:tcW w:type="dxa" w:w="32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Predictive Maintenance and Remote Demonstration</w:t>
            </w:r>
          </w:p>
        </w:tc>
        <w:tc>
          <w:tcPr>
            <w:tcW w:type="dxa" w:w="536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MaintainX integration complete, automated work orders verified, remote access demonstrated before independence exercise.</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G7</w:t>
            </w:r>
          </w:p>
        </w:tc>
        <w:tc>
          <w:tcPr>
            <w:tcW w:type="dxa" w:w="3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Independence Validation and Project Closeout</w:t>
            </w:r>
          </w:p>
        </w:tc>
        <w:tc>
          <w:tcPr>
            <w:tcW w:type="dxa" w:w="53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Colleague-executed independence exercise — new equipment added using documentation only — project formally closed.</w:t>
            </w:r>
          </w:p>
        </w:tc>
      </w:tr>
    </w:tbl>
    <w:p>
      <w:pPr>
        <w:spacing w:after="0" w:before="300"/>
      </w:pPr>
      <w:r>
        <w:t xml:space="preserve"/>
      </w:r>
    </w:p>
    <w:p>
      <w:pPr>
        <w:spacing w:after="0" w:before="28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A3A5C" w:val="clear"/>
            <w:tcMar>
              <w:top w:type="dxa" w:w="80"/>
              <w:left w:type="dxa" w:w="240"/>
              <w:bottom w:type="dxa" w:w="80"/>
              <w:right w:type="dxa" w:w="240"/>
            </w:tcMar>
          </w:tcPr>
          <w:p>
            <w:pPr>
              <w:spacing w:after="40" w:before="40"/>
            </w:pPr>
            <w:r>
              <w:rPr>
                <w:rFonts w:ascii="Arial" w:cs="Arial" w:eastAsia="Arial" w:hAnsi="Arial"/>
                <w:b/>
                <w:bCs/>
                <w:i w:val="false"/>
                <w:iCs w:val="false"/>
                <w:color w:val="00ACC1"/>
                <w:sz w:val="20"/>
                <w:szCs w:val="20"/>
              </w:rPr>
              <w:t xml:space="preserve">GATE G0  </w:t>
            </w:r>
            <w:r>
              <w:rPr>
                <w:rFonts w:ascii="Arial" w:cs="Arial" w:eastAsia="Arial" w:hAnsi="Arial"/>
                <w:b/>
                <w:bCs/>
                <w:i w:val="false"/>
                <w:iCs w:val="false"/>
                <w:color w:val="4477AA"/>
                <w:sz w:val="20"/>
                <w:szCs w:val="20"/>
              </w:rPr>
              <w:t xml:space="preserve">——  </w:t>
            </w:r>
            <w:r>
              <w:rPr>
                <w:rFonts w:ascii="Arial" w:cs="Arial" w:eastAsia="Arial" w:hAnsi="Arial"/>
                <w:b/>
                <w:bCs/>
                <w:i w:val="false"/>
                <w:iCs w:val="false"/>
                <w:color w:val="FFFFFF"/>
                <w:sz w:val="20"/>
                <w:szCs w:val="20"/>
              </w:rPr>
              <w:t xml:space="preserve">Project Initiation and Architecture Definition</w:t>
            </w:r>
          </w:p>
        </w:tc>
      </w:tr>
    </w:tbl>
    <w:p>
      <w:pPr>
        <w:spacing w:after="0" w:before="120"/>
      </w:pPr>
      <w:r>
        <w:t xml:space="preserve"/>
      </w:r>
    </w:p>
    <w:p>
      <w:pPr>
        <w:spacing w:after="120" w:before="0" w:line="320"/>
      </w:pPr>
      <w:r>
        <w:rPr>
          <w:rFonts w:ascii="Arial" w:cs="Arial" w:eastAsia="Arial" w:hAnsi="Arial"/>
          <w:b w:val="false"/>
          <w:bCs w:val="false"/>
          <w:i w:val="false"/>
          <w:iCs w:val="false"/>
          <w:color w:val="1A1A1A"/>
          <w:sz w:val="19"/>
          <w:szCs w:val="19"/>
        </w:rPr>
        <w:t xml:space="preserve">Gate G0 confirms that the project foundation is solid before programming begins. All architectural decisions are documented, the version control repository is active, and the document family is established. Gate G0 is largely complete for the Loogootee project. Passage is a documentation confirmation exercise.</w:t>
      </w:r>
    </w:p>
    <w:p>
      <w:pPr>
        <w:spacing w:after="0" w:before="100"/>
      </w:pPr>
      <w:r>
        <w:t xml:space="preserve"/>
      </w:r>
    </w:p>
    <w:p>
      <w:pPr>
        <w:spacing w:after="60" w:before="80"/>
      </w:pPr>
      <w:r>
        <w:rPr>
          <w:rFonts w:ascii="Arial" w:cs="Arial" w:eastAsia="Arial" w:hAnsi="Arial"/>
          <w:b/>
          <w:bCs/>
          <w:i w:val="false"/>
          <w:iCs w:val="false"/>
          <w:color w:val="2E5FAB"/>
          <w:sz w:val="18"/>
          <w:szCs w:val="18"/>
        </w:rPr>
        <w:t xml:space="preserve">Entry Criteria:</w:t>
      </w:r>
    </w:p>
    <w:p>
      <w:pPr>
        <w:pStyle w:val="ListParagraph"/>
        <w:numPr>
          <w:ilvl w:val="0"/>
          <w:numId w:val="3"/>
        </w:numPr>
        <w:spacing w:after="60" w:before="0"/>
      </w:pPr>
      <w:r>
        <w:rPr>
          <w:rFonts w:ascii="Arial" w:cs="Arial" w:eastAsia="Arial" w:hAnsi="Arial"/>
          <w:b w:val="false"/>
          <w:bCs w:val="false"/>
          <w:i w:val="false"/>
          <w:iCs w:val="false"/>
          <w:color w:val="1A1A1A"/>
          <w:sz w:val="18"/>
          <w:szCs w:val="18"/>
        </w:rPr>
        <w:t xml:space="preserve">Project scope document complete and current — Rev 1.1 or later</w:t>
      </w:r>
    </w:p>
    <w:p>
      <w:pPr>
        <w:pStyle w:val="ListParagraph"/>
        <w:numPr>
          <w:ilvl w:val="0"/>
          <w:numId w:val="3"/>
        </w:numPr>
        <w:spacing w:after="60" w:before="0"/>
      </w:pPr>
      <w:r>
        <w:rPr>
          <w:rFonts w:ascii="Arial" w:cs="Arial" w:eastAsia="Arial" w:hAnsi="Arial"/>
          <w:b w:val="false"/>
          <w:bCs w:val="false"/>
          <w:i w:val="false"/>
          <w:iCs w:val="false"/>
          <w:color w:val="1A1A1A"/>
          <w:sz w:val="18"/>
          <w:szCs w:val="18"/>
        </w:rPr>
        <w:t xml:space="preserve">IIoT architecture decision record complete — all nine ADRs documented</w:t>
      </w:r>
    </w:p>
    <w:p>
      <w:pPr>
        <w:pStyle w:val="ListParagraph"/>
        <w:numPr>
          <w:ilvl w:val="0"/>
          <w:numId w:val="3"/>
        </w:numPr>
        <w:spacing w:after="60" w:before="0"/>
      </w:pPr>
      <w:r>
        <w:rPr>
          <w:rFonts w:ascii="Arial" w:cs="Arial" w:eastAsia="Arial" w:hAnsi="Arial"/>
          <w:b w:val="false"/>
          <w:bCs w:val="false"/>
          <w:i w:val="false"/>
          <w:iCs w:val="false"/>
          <w:color w:val="1A1A1A"/>
          <w:sz w:val="18"/>
          <w:szCs w:val="18"/>
        </w:rPr>
        <w:t xml:space="preserve">Five-layer IIoT stack architecture defined and documented</w:t>
      </w:r>
    </w:p>
    <w:p>
      <w:pPr>
        <w:pStyle w:val="ListParagraph"/>
        <w:numPr>
          <w:ilvl w:val="0"/>
          <w:numId w:val="3"/>
        </w:numPr>
        <w:spacing w:after="60" w:before="0"/>
      </w:pPr>
      <w:r>
        <w:rPr>
          <w:rFonts w:ascii="Arial" w:cs="Arial" w:eastAsia="Arial" w:hAnsi="Arial"/>
          <w:b w:val="false"/>
          <w:bCs w:val="false"/>
          <w:i w:val="false"/>
          <w:iCs w:val="false"/>
          <w:color w:val="1A1A1A"/>
          <w:sz w:val="18"/>
          <w:szCs w:val="18"/>
        </w:rPr>
        <w:t xml:space="preserve">ISA-95 two-tier tag naming standard documented</w:t>
      </w:r>
    </w:p>
    <w:p>
      <w:pPr>
        <w:pStyle w:val="ListParagraph"/>
        <w:numPr>
          <w:ilvl w:val="0"/>
          <w:numId w:val="3"/>
        </w:numPr>
        <w:spacing w:after="60" w:before="0"/>
      </w:pPr>
      <w:r>
        <w:rPr>
          <w:rFonts w:ascii="Arial" w:cs="Arial" w:eastAsia="Arial" w:hAnsi="Arial"/>
          <w:b w:val="false"/>
          <w:bCs w:val="false"/>
          <w:i w:val="false"/>
          <w:iCs w:val="false"/>
          <w:color w:val="1A1A1A"/>
          <w:sz w:val="18"/>
          <w:szCs w:val="18"/>
        </w:rPr>
        <w:t xml:space="preserve">UNS topic hierarchy documented for both sites</w:t>
      </w:r>
    </w:p>
    <w:p>
      <w:pPr>
        <w:pStyle w:val="ListParagraph"/>
        <w:numPr>
          <w:ilvl w:val="0"/>
          <w:numId w:val="3"/>
        </w:numPr>
        <w:spacing w:after="60" w:before="0"/>
      </w:pPr>
      <w:r>
        <w:rPr>
          <w:rFonts w:ascii="Arial" w:cs="Arial" w:eastAsia="Arial" w:hAnsi="Arial"/>
          <w:b w:val="false"/>
          <w:bCs w:val="false"/>
          <w:i w:val="false"/>
          <w:iCs w:val="false"/>
          <w:color w:val="1A1A1A"/>
          <w:sz w:val="18"/>
          <w:szCs w:val="18"/>
        </w:rPr>
        <w:t xml:space="preserve">Hardware register complete — all confirmed hardware listed with location and status</w:t>
      </w:r>
    </w:p>
    <w:p>
      <w:pPr>
        <w:pStyle w:val="ListParagraph"/>
        <w:numPr>
          <w:ilvl w:val="0"/>
          <w:numId w:val="3"/>
        </w:numPr>
        <w:spacing w:after="60" w:before="0"/>
      </w:pPr>
      <w:r>
        <w:rPr>
          <w:rFonts w:ascii="Arial" w:cs="Arial" w:eastAsia="Arial" w:hAnsi="Arial"/>
          <w:b w:val="false"/>
          <w:bCs w:val="false"/>
          <w:i w:val="false"/>
          <w:iCs w:val="false"/>
          <w:color w:val="1A1A1A"/>
          <w:sz w:val="18"/>
          <w:szCs w:val="18"/>
        </w:rPr>
        <w:t xml:space="preserve">Network architecture defined — VLANs, IP scheme, OT/IIoT/IT zone separation</w:t>
      </w:r>
    </w:p>
    <w:p>
      <w:pPr>
        <w:pStyle w:val="ListParagraph"/>
        <w:numPr>
          <w:ilvl w:val="0"/>
          <w:numId w:val="3"/>
        </w:numPr>
        <w:spacing w:after="60" w:before="0"/>
      </w:pPr>
      <w:r>
        <w:rPr>
          <w:rFonts w:ascii="Arial" w:cs="Arial" w:eastAsia="Arial" w:hAnsi="Arial"/>
          <w:b w:val="false"/>
          <w:bCs w:val="false"/>
          <w:i w:val="false"/>
          <w:iCs w:val="false"/>
          <w:color w:val="1A1A1A"/>
          <w:sz w:val="18"/>
          <w:szCs w:val="18"/>
        </w:rPr>
        <w:t xml:space="preserve">Version control repository initialized — github.com/JeremySField/loogootee-mfg-training-simulation — active</w:t>
      </w:r>
    </w:p>
    <w:p>
      <w:pPr>
        <w:pStyle w:val="ListParagraph"/>
        <w:numPr>
          <w:ilvl w:val="0"/>
          <w:numId w:val="3"/>
        </w:numPr>
        <w:spacing w:after="60" w:before="0"/>
      </w:pPr>
      <w:r>
        <w:rPr>
          <w:rFonts w:ascii="Arial" w:cs="Arial" w:eastAsia="Arial" w:hAnsi="Arial"/>
          <w:b w:val="false"/>
          <w:bCs w:val="false"/>
          <w:i w:val="false"/>
          <w:iCs w:val="false"/>
          <w:color w:val="1A1A1A"/>
          <w:sz w:val="18"/>
          <w:szCs w:val="18"/>
        </w:rPr>
        <w:t xml:space="preserve">Pre-project program backup record complete — all original PLC programs backed up before any modification</w:t>
      </w:r>
    </w:p>
    <w:p>
      <w:pPr>
        <w:pStyle w:val="ListParagraph"/>
        <w:numPr>
          <w:ilvl w:val="0"/>
          <w:numId w:val="3"/>
        </w:numPr>
        <w:spacing w:after="60" w:before="0"/>
      </w:pPr>
      <w:r>
        <w:rPr>
          <w:rFonts w:ascii="Arial" w:cs="Arial" w:eastAsia="Arial" w:hAnsi="Arial"/>
          <w:b w:val="false"/>
          <w:bCs w:val="false"/>
          <w:i w:val="false"/>
          <w:iCs w:val="false"/>
          <w:color w:val="1A1A1A"/>
          <w:sz w:val="18"/>
          <w:szCs w:val="18"/>
        </w:rPr>
        <w:t xml:space="preserve">Phase gate criteria document issued — this section</w:t>
      </w:r>
    </w:p>
    <w:p>
      <w:pPr>
        <w:pStyle w:val="ListParagraph"/>
        <w:numPr>
          <w:ilvl w:val="0"/>
          <w:numId w:val="3"/>
        </w:numPr>
        <w:spacing w:after="60" w:before="0"/>
      </w:pPr>
      <w:r>
        <w:rPr>
          <w:rFonts w:ascii="Arial" w:cs="Arial" w:eastAsia="Arial" w:hAnsi="Arial"/>
          <w:b w:val="false"/>
          <w:bCs w:val="false"/>
          <w:i w:val="false"/>
          <w:iCs w:val="false"/>
          <w:color w:val="1A1A1A"/>
          <w:sz w:val="18"/>
          <w:szCs w:val="18"/>
        </w:rPr>
        <w:t xml:space="preserve">Gate G0 sign-off documented in project record</w:t>
      </w:r>
    </w:p>
    <w:p>
      <w:pPr>
        <w:spacing w:after="0" w:before="28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A3A5C" w:val="clear"/>
            <w:tcMar>
              <w:top w:type="dxa" w:w="80"/>
              <w:left w:type="dxa" w:w="240"/>
              <w:bottom w:type="dxa" w:w="80"/>
              <w:right w:type="dxa" w:w="240"/>
            </w:tcMar>
          </w:tcPr>
          <w:p>
            <w:pPr>
              <w:spacing w:after="40" w:before="40"/>
            </w:pPr>
            <w:r>
              <w:rPr>
                <w:rFonts w:ascii="Arial" w:cs="Arial" w:eastAsia="Arial" w:hAnsi="Arial"/>
                <w:b/>
                <w:bCs/>
                <w:i w:val="false"/>
                <w:iCs w:val="false"/>
                <w:color w:val="00ACC1"/>
                <w:sz w:val="20"/>
                <w:szCs w:val="20"/>
              </w:rPr>
              <w:t xml:space="preserve">GATE G1  </w:t>
            </w:r>
            <w:r>
              <w:rPr>
                <w:rFonts w:ascii="Arial" w:cs="Arial" w:eastAsia="Arial" w:hAnsi="Arial"/>
                <w:b/>
                <w:bCs/>
                <w:i w:val="false"/>
                <w:iCs w:val="false"/>
                <w:color w:val="4477AA"/>
                <w:sz w:val="20"/>
                <w:szCs w:val="20"/>
              </w:rPr>
              <w:t xml:space="preserve">——  </w:t>
            </w:r>
            <w:r>
              <w:rPr>
                <w:rFonts w:ascii="Arial" w:cs="Arial" w:eastAsia="Arial" w:hAnsi="Arial"/>
                <w:b/>
                <w:bCs/>
                <w:i w:val="false"/>
                <w:iCs w:val="false"/>
                <w:color w:val="FFFFFF"/>
                <w:sz w:val="20"/>
                <w:szCs w:val="20"/>
              </w:rPr>
              <w:t xml:space="preserve">Controller Commissioning and UNS Integration</w:t>
            </w:r>
          </w:p>
        </w:tc>
      </w:tr>
    </w:tbl>
    <w:p>
      <w:pPr>
        <w:spacing w:after="0" w:before="120"/>
      </w:pPr>
      <w:r>
        <w:t xml:space="preserve"/>
      </w:r>
    </w:p>
    <w:p>
      <w:pPr>
        <w:spacing w:after="120" w:before="0" w:line="320"/>
      </w:pPr>
      <w:r>
        <w:rPr>
          <w:rFonts w:ascii="Arial" w:cs="Arial" w:eastAsia="Arial" w:hAnsi="Arial"/>
          <w:b w:val="false"/>
          <w:bCs w:val="false"/>
          <w:i w:val="false"/>
          <w:iCs w:val="false"/>
          <w:color w:val="1A1A1A"/>
          <w:sz w:val="19"/>
          <w:szCs w:val="19"/>
        </w:rPr>
        <w:t xml:space="preserve">Gate G1 confirms that all 11 controllers are programmed, the simulation is running, and all data is verified to be publishing correctly to the broker before the IIoT stack is built on top of it. The OT data layer must be complete and verified before Phase 2 infrastructure is commissioned.</w:t>
      </w:r>
    </w:p>
    <w:p>
      <w:pPr>
        <w:spacing w:after="0" w:before="100"/>
      </w:pPr>
      <w:r>
        <w:t xml:space="preserve"/>
      </w:r>
    </w:p>
    <w:p>
      <w:pPr>
        <w:spacing w:after="60" w:before="80"/>
      </w:pPr>
      <w:r>
        <w:rPr>
          <w:rFonts w:ascii="Arial" w:cs="Arial" w:eastAsia="Arial" w:hAnsi="Arial"/>
          <w:b/>
          <w:bCs/>
          <w:i w:val="false"/>
          <w:iCs w:val="false"/>
          <w:color w:val="2E5FAB"/>
          <w:sz w:val="18"/>
          <w:szCs w:val="18"/>
        </w:rPr>
        <w:t xml:space="preserve">Entry Criteria:</w:t>
      </w:r>
    </w:p>
    <w:p>
      <w:pPr>
        <w:pStyle w:val="ListParagraph"/>
        <w:numPr>
          <w:ilvl w:val="0"/>
          <w:numId w:val="3"/>
        </w:numPr>
        <w:spacing w:after="60" w:before="0"/>
      </w:pPr>
      <w:r>
        <w:rPr>
          <w:rFonts w:ascii="Arial" w:cs="Arial" w:eastAsia="Arial" w:hAnsi="Arial"/>
          <w:b w:val="false"/>
          <w:bCs w:val="false"/>
          <w:i w:val="false"/>
          <w:iCs w:val="false"/>
          <w:color w:val="1A1A1A"/>
          <w:sz w:val="18"/>
          <w:szCs w:val="18"/>
        </w:rPr>
        <w:t xml:space="preserve">All 11 controllers physically mounted and powered in 42U rack</w:t>
      </w:r>
    </w:p>
    <w:p>
      <w:pPr>
        <w:pStyle w:val="ListParagraph"/>
        <w:numPr>
          <w:ilvl w:val="0"/>
          <w:numId w:val="3"/>
        </w:numPr>
        <w:spacing w:after="60" w:before="0"/>
      </w:pPr>
      <w:r>
        <w:rPr>
          <w:rFonts w:ascii="Arial" w:cs="Arial" w:eastAsia="Arial" w:hAnsi="Arial"/>
          <w:b w:val="false"/>
          <w:bCs w:val="false"/>
          <w:i w:val="false"/>
          <w:iCs w:val="false"/>
          <w:color w:val="1A1A1A"/>
          <w:sz w:val="18"/>
          <w:szCs w:val="18"/>
        </w:rPr>
        <w:t xml:space="preserve">Rack power infrastructure complete — both dedicated 20A circuits landed and verified</w:t>
      </w:r>
    </w:p>
    <w:p>
      <w:pPr>
        <w:pStyle w:val="ListParagraph"/>
        <w:numPr>
          <w:ilvl w:val="0"/>
          <w:numId w:val="3"/>
        </w:numPr>
        <w:spacing w:after="60" w:before="0"/>
      </w:pPr>
      <w:r>
        <w:rPr>
          <w:rFonts w:ascii="Arial" w:cs="Arial" w:eastAsia="Arial" w:hAnsi="Arial"/>
          <w:b w:val="false"/>
          <w:bCs w:val="false"/>
          <w:i w:val="false"/>
          <w:iCs w:val="false"/>
          <w:color w:val="1A1A1A"/>
          <w:sz w:val="18"/>
          <w:szCs w:val="18"/>
        </w:rPr>
        <w:t xml:space="preserve">All 11 controllers commissioned — programs downloaded and running</w:t>
      </w:r>
    </w:p>
    <w:p>
      <w:pPr>
        <w:pStyle w:val="ListParagraph"/>
        <w:numPr>
          <w:ilvl w:val="0"/>
          <w:numId w:val="3"/>
        </w:numPr>
        <w:spacing w:after="60" w:before="0"/>
      </w:pPr>
      <w:r>
        <w:rPr>
          <w:rFonts w:ascii="Arial" w:cs="Arial" w:eastAsia="Arial" w:hAnsi="Arial"/>
          <w:b w:val="false"/>
          <w:bCs w:val="false"/>
          <w:i w:val="false"/>
          <w:iCs w:val="false"/>
          <w:color w:val="1A1A1A"/>
          <w:sz w:val="18"/>
          <w:szCs w:val="18"/>
        </w:rPr>
        <w:t xml:space="preserve">Simulated production routines running on all platforms — fault cycling, cycle times, part counts active</w:t>
      </w:r>
    </w:p>
    <w:p>
      <w:pPr>
        <w:pStyle w:val="ListParagraph"/>
        <w:numPr>
          <w:ilvl w:val="0"/>
          <w:numId w:val="3"/>
        </w:numPr>
        <w:spacing w:after="60" w:before="0"/>
      </w:pPr>
      <w:r>
        <w:rPr>
          <w:rFonts w:ascii="Arial" w:cs="Arial" w:eastAsia="Arial" w:hAnsi="Arial"/>
          <w:b w:val="false"/>
          <w:bCs w:val="false"/>
          <w:i w:val="false"/>
          <w:iCs w:val="false"/>
          <w:color w:val="1A1A1A"/>
          <w:sz w:val="18"/>
          <w:szCs w:val="18"/>
        </w:rPr>
        <w:t xml:space="preserve">All controllers publishing ISA-95 named Sparkplug B metrics to Mosquitto broker</w:t>
      </w:r>
    </w:p>
    <w:p>
      <w:pPr>
        <w:pStyle w:val="ListParagraph"/>
        <w:numPr>
          <w:ilvl w:val="0"/>
          <w:numId w:val="3"/>
        </w:numPr>
        <w:spacing w:after="60" w:before="0"/>
      </w:pPr>
      <w:r>
        <w:rPr>
          <w:rFonts w:ascii="Arial" w:cs="Arial" w:eastAsia="Arial" w:hAnsi="Arial"/>
          <w:b w:val="false"/>
          <w:bCs w:val="false"/>
          <w:i w:val="false"/>
          <w:iCs w:val="false"/>
          <w:color w:val="1A1A1A"/>
          <w:sz w:val="18"/>
          <w:szCs w:val="18"/>
        </w:rPr>
        <w:t xml:space="preserve">Sparkplug B payload verified end to end — MQTT Explorer confirmation on all devices</w:t>
      </w:r>
    </w:p>
    <w:p>
      <w:pPr>
        <w:pStyle w:val="ListParagraph"/>
        <w:numPr>
          <w:ilvl w:val="0"/>
          <w:numId w:val="3"/>
        </w:numPr>
        <w:spacing w:after="60" w:before="0"/>
      </w:pPr>
      <w:r>
        <w:rPr>
          <w:rFonts w:ascii="Arial" w:cs="Arial" w:eastAsia="Arial" w:hAnsi="Arial"/>
          <w:b w:val="false"/>
          <w:bCs w:val="false"/>
          <w:i w:val="false"/>
          <w:iCs w:val="false"/>
          <w:color w:val="1A1A1A"/>
          <w:sz w:val="18"/>
          <w:szCs w:val="18"/>
        </w:rPr>
        <w:t xml:space="preserve">Tag naming validated against ISA-95 standard — Tier 1 and Tier 2 confirmed on all platforms</w:t>
      </w:r>
    </w:p>
    <w:p>
      <w:pPr>
        <w:pStyle w:val="ListParagraph"/>
        <w:numPr>
          <w:ilvl w:val="0"/>
          <w:numId w:val="3"/>
        </w:numPr>
        <w:spacing w:after="60" w:before="0"/>
      </w:pPr>
      <w:r>
        <w:rPr>
          <w:rFonts w:ascii="Arial" w:cs="Arial" w:eastAsia="Arial" w:hAnsi="Arial"/>
          <w:b w:val="false"/>
          <w:bCs w:val="false"/>
          <w:i w:val="false"/>
          <w:iCs w:val="false"/>
          <w:color w:val="1A1A1A"/>
          <w:sz w:val="18"/>
          <w:szCs w:val="18"/>
        </w:rPr>
        <w:t xml:space="preserve">All 13 protocol paths verified active — DF1, DH-485, Modbus RTU, EtherNet/IP, PROFINET, PROFIBUS, EtherCAT, OPC-UA, S7 PUT/GET, CIP Safety, MQTT, Sparkplug B, IO-Link (broker path)</w:t>
      </w:r>
    </w:p>
    <w:p>
      <w:pPr>
        <w:pStyle w:val="ListParagraph"/>
        <w:numPr>
          <w:ilvl w:val="0"/>
          <w:numId w:val="3"/>
        </w:numPr>
        <w:spacing w:after="60" w:before="0"/>
      </w:pPr>
      <w:r>
        <w:rPr>
          <w:rFonts w:ascii="Arial" w:cs="Arial" w:eastAsia="Arial" w:hAnsi="Arial"/>
          <w:b w:val="false"/>
          <w:bCs w:val="false"/>
          <w:i w:val="false"/>
          <w:iCs w:val="false"/>
          <w:color w:val="1A1A1A"/>
          <w:sz w:val="18"/>
          <w:szCs w:val="18"/>
        </w:rPr>
        <w:t xml:space="preserve">Pre-commissioning program backup record complete — all 11 controller programs backed up at commissioned state</w:t>
      </w:r>
    </w:p>
    <w:p>
      <w:pPr>
        <w:pStyle w:val="ListParagraph"/>
        <w:numPr>
          <w:ilvl w:val="0"/>
          <w:numId w:val="3"/>
        </w:numPr>
        <w:spacing w:after="60" w:before="0"/>
      </w:pPr>
      <w:r>
        <w:rPr>
          <w:rFonts w:ascii="Arial" w:cs="Arial" w:eastAsia="Arial" w:hAnsi="Arial"/>
          <w:b w:val="false"/>
          <w:bCs w:val="false"/>
          <w:i w:val="false"/>
          <w:iCs w:val="false"/>
          <w:color w:val="1A1A1A"/>
          <w:sz w:val="18"/>
          <w:szCs w:val="18"/>
        </w:rPr>
        <w:t xml:space="preserve">All program files committed to version control at Gate G1 revision</w:t>
      </w:r>
    </w:p>
    <w:p>
      <w:pPr>
        <w:pStyle w:val="ListParagraph"/>
        <w:numPr>
          <w:ilvl w:val="0"/>
          <w:numId w:val="3"/>
        </w:numPr>
        <w:spacing w:after="60" w:before="0"/>
      </w:pPr>
      <w:r>
        <w:rPr>
          <w:rFonts w:ascii="Arial" w:cs="Arial" w:eastAsia="Arial" w:hAnsi="Arial"/>
          <w:b w:val="false"/>
          <w:bCs w:val="false"/>
          <w:i w:val="false"/>
          <w:iCs w:val="false"/>
          <w:color w:val="1A1A1A"/>
          <w:sz w:val="18"/>
          <w:szCs w:val="18"/>
        </w:rPr>
        <w:t xml:space="preserve">MicroLogix 1000 program spec updated to final revision</w:t>
      </w:r>
    </w:p>
    <w:p>
      <w:pPr>
        <w:pStyle w:val="ListParagraph"/>
        <w:numPr>
          <w:ilvl w:val="0"/>
          <w:numId w:val="3"/>
        </w:numPr>
        <w:spacing w:after="60" w:before="0"/>
      </w:pPr>
      <w:r>
        <w:rPr>
          <w:rFonts w:ascii="Arial" w:cs="Arial" w:eastAsia="Arial" w:hAnsi="Arial"/>
          <w:b w:val="false"/>
          <w:bCs w:val="false"/>
          <w:i w:val="false"/>
          <w:iCs w:val="false"/>
          <w:color w:val="1A1A1A"/>
          <w:sz w:val="18"/>
          <w:szCs w:val="18"/>
        </w:rPr>
        <w:t xml:space="preserve">Gate G1 sign-off documented in project record</w:t>
      </w:r>
    </w:p>
    <w:p>
      <w:pPr>
        <w:spacing w:after="0" w:before="28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A3A5C" w:val="clear"/>
            <w:tcMar>
              <w:top w:type="dxa" w:w="80"/>
              <w:left w:type="dxa" w:w="240"/>
              <w:bottom w:type="dxa" w:w="80"/>
              <w:right w:type="dxa" w:w="240"/>
            </w:tcMar>
          </w:tcPr>
          <w:p>
            <w:pPr>
              <w:spacing w:after="40" w:before="40"/>
            </w:pPr>
            <w:r>
              <w:rPr>
                <w:rFonts w:ascii="Arial" w:cs="Arial" w:eastAsia="Arial" w:hAnsi="Arial"/>
                <w:b/>
                <w:bCs/>
                <w:i w:val="false"/>
                <w:iCs w:val="false"/>
                <w:color w:val="00ACC1"/>
                <w:sz w:val="20"/>
                <w:szCs w:val="20"/>
              </w:rPr>
              <w:t xml:space="preserve">GATE G2  </w:t>
            </w:r>
            <w:r>
              <w:rPr>
                <w:rFonts w:ascii="Arial" w:cs="Arial" w:eastAsia="Arial" w:hAnsi="Arial"/>
                <w:b/>
                <w:bCs/>
                <w:i w:val="false"/>
                <w:iCs w:val="false"/>
                <w:color w:val="4477AA"/>
                <w:sz w:val="20"/>
                <w:szCs w:val="20"/>
              </w:rPr>
              <w:t xml:space="preserve">——  </w:t>
            </w:r>
            <w:r>
              <w:rPr>
                <w:rFonts w:ascii="Arial" w:cs="Arial" w:eastAsia="Arial" w:hAnsi="Arial"/>
                <w:b/>
                <w:bCs/>
                <w:i w:val="false"/>
                <w:iCs w:val="false"/>
                <w:color w:val="FFFFFF"/>
                <w:sz w:val="20"/>
                <w:szCs w:val="20"/>
              </w:rPr>
              <w:t xml:space="preserve">IIoT Stack Deployment and Network Security</w:t>
            </w:r>
          </w:p>
        </w:tc>
      </w:tr>
    </w:tbl>
    <w:p>
      <w:pPr>
        <w:spacing w:after="0" w:before="120"/>
      </w:pPr>
      <w:r>
        <w:t xml:space="preserve"/>
      </w:r>
    </w:p>
    <w:p>
      <w:pPr>
        <w:spacing w:after="120" w:before="0" w:line="320"/>
      </w:pPr>
      <w:r>
        <w:rPr>
          <w:rFonts w:ascii="Arial" w:cs="Arial" w:eastAsia="Arial" w:hAnsi="Arial"/>
          <w:b w:val="false"/>
          <w:bCs w:val="false"/>
          <w:i w:val="false"/>
          <w:iCs w:val="false"/>
          <w:color w:val="1A1A1A"/>
          <w:sz w:val="19"/>
          <w:szCs w:val="19"/>
        </w:rPr>
        <w:t xml:space="preserve">Gate G2 confirms that the IIoT infrastructure is fully operational, the network security architecture is implemented and verified, and remote access is available before the visualization and historian layer is built. Security verification is a non-negotiable gate criterion — the stack is not considered commissioned until the security posture is confirmed.</w:t>
      </w:r>
    </w:p>
    <w:p>
      <w:pPr>
        <w:spacing w:after="0" w:before="100"/>
      </w:pPr>
      <w:r>
        <w:t xml:space="preserve"/>
      </w:r>
    </w:p>
    <w:p>
      <w:pPr>
        <w:spacing w:after="60" w:before="80"/>
      </w:pPr>
      <w:r>
        <w:rPr>
          <w:rFonts w:ascii="Arial" w:cs="Arial" w:eastAsia="Arial" w:hAnsi="Arial"/>
          <w:b/>
          <w:bCs/>
          <w:i w:val="false"/>
          <w:iCs w:val="false"/>
          <w:color w:val="2E5FAB"/>
          <w:sz w:val="18"/>
          <w:szCs w:val="18"/>
        </w:rPr>
        <w:t xml:space="preserve">Entry Criteria:</w:t>
      </w:r>
    </w:p>
    <w:p>
      <w:pPr>
        <w:pStyle w:val="ListParagraph"/>
        <w:numPr>
          <w:ilvl w:val="0"/>
          <w:numId w:val="3"/>
        </w:numPr>
        <w:spacing w:after="60" w:before="0"/>
      </w:pPr>
      <w:r>
        <w:rPr>
          <w:rFonts w:ascii="Arial" w:cs="Arial" w:eastAsia="Arial" w:hAnsi="Arial"/>
          <w:b w:val="false"/>
          <w:bCs w:val="false"/>
          <w:i w:val="false"/>
          <w:iCs w:val="false"/>
          <w:color w:val="1A1A1A"/>
          <w:sz w:val="18"/>
          <w:szCs w:val="18"/>
        </w:rPr>
        <w:t xml:space="preserve">AOOSTAR NAS commissioned — Proxmox VE installed and operational</w:t>
      </w:r>
    </w:p>
    <w:p>
      <w:pPr>
        <w:pStyle w:val="ListParagraph"/>
        <w:numPr>
          <w:ilvl w:val="0"/>
          <w:numId w:val="3"/>
        </w:numPr>
        <w:spacing w:after="60" w:before="0"/>
      </w:pPr>
      <w:r>
        <w:rPr>
          <w:rFonts w:ascii="Arial" w:cs="Arial" w:eastAsia="Arial" w:hAnsi="Arial"/>
          <w:b w:val="false"/>
          <w:bCs w:val="false"/>
          <w:i w:val="false"/>
          <w:iCs w:val="false"/>
          <w:color w:val="1A1A1A"/>
          <w:sz w:val="18"/>
          <w:szCs w:val="18"/>
        </w:rPr>
        <w:t xml:space="preserve">All IIoT stack LXC containers deployed and running — Mosquitto, Node-RED, Ignition, Telegraf, InfluxDB, Grafana</w:t>
      </w:r>
    </w:p>
    <w:p>
      <w:pPr>
        <w:pStyle w:val="ListParagraph"/>
        <w:numPr>
          <w:ilvl w:val="0"/>
          <w:numId w:val="3"/>
        </w:numPr>
        <w:spacing w:after="60" w:before="0"/>
      </w:pPr>
      <w:r>
        <w:rPr>
          <w:rFonts w:ascii="Arial" w:cs="Arial" w:eastAsia="Arial" w:hAnsi="Arial"/>
          <w:b w:val="false"/>
          <w:bCs w:val="false"/>
          <w:i w:val="false"/>
          <w:iCs w:val="false"/>
          <w:color w:val="1A1A1A"/>
          <w:sz w:val="18"/>
          <w:szCs w:val="18"/>
        </w:rPr>
        <w:t xml:space="preserve">Ignition confirmed as sole calculation engine — OEE calculating from live PLC data</w:t>
      </w:r>
    </w:p>
    <w:p>
      <w:pPr>
        <w:pStyle w:val="ListParagraph"/>
        <w:numPr>
          <w:ilvl w:val="0"/>
          <w:numId w:val="3"/>
        </w:numPr>
        <w:spacing w:after="60" w:before="0"/>
      </w:pPr>
      <w:r>
        <w:rPr>
          <w:rFonts w:ascii="Arial" w:cs="Arial" w:eastAsia="Arial" w:hAnsi="Arial"/>
          <w:b w:val="false"/>
          <w:bCs w:val="false"/>
          <w:i w:val="false"/>
          <w:iCs w:val="false"/>
          <w:color w:val="1A1A1A"/>
          <w:sz w:val="18"/>
          <w:szCs w:val="18"/>
        </w:rPr>
        <w:t xml:space="preserve">Telegraf confirmed capturing all broker topics to InfluxDB — all metrics present</w:t>
      </w:r>
    </w:p>
    <w:p>
      <w:pPr>
        <w:pStyle w:val="ListParagraph"/>
        <w:numPr>
          <w:ilvl w:val="0"/>
          <w:numId w:val="3"/>
        </w:numPr>
        <w:spacing w:after="60" w:before="0"/>
      </w:pPr>
      <w:r>
        <w:rPr>
          <w:rFonts w:ascii="Arial" w:cs="Arial" w:eastAsia="Arial" w:hAnsi="Arial"/>
          <w:b w:val="false"/>
          <w:bCs w:val="false"/>
          <w:i w:val="false"/>
          <w:iCs w:val="false"/>
          <w:color w:val="1A1A1A"/>
          <w:sz w:val="18"/>
          <w:szCs w:val="18"/>
        </w:rPr>
        <w:t xml:space="preserve">Tailscale mesh network configured — rack accessible from laptop and phone without port forwarding</w:t>
      </w:r>
    </w:p>
    <w:p>
      <w:pPr>
        <w:pStyle w:val="ListParagraph"/>
        <w:numPr>
          <w:ilvl w:val="0"/>
          <w:numId w:val="3"/>
        </w:numPr>
        <w:spacing w:after="60" w:before="0"/>
      </w:pPr>
      <w:r>
        <w:rPr>
          <w:rFonts w:ascii="Arial" w:cs="Arial" w:eastAsia="Arial" w:hAnsi="Arial"/>
          <w:b w:val="false"/>
          <w:bCs w:val="false"/>
          <w:i w:val="false"/>
          <w:iCs w:val="false"/>
          <w:color w:val="1A1A1A"/>
          <w:sz w:val="18"/>
          <w:szCs w:val="18"/>
        </w:rPr>
        <w:t xml:space="preserve">No open ports on home router — Tailscale-only remote access confirmed</w:t>
      </w:r>
    </w:p>
    <w:p>
      <w:pPr>
        <w:pStyle w:val="ListParagraph"/>
        <w:numPr>
          <w:ilvl w:val="0"/>
          <w:numId w:val="3"/>
        </w:numPr>
        <w:spacing w:after="60" w:before="0"/>
      </w:pPr>
      <w:r>
        <w:rPr>
          <w:rFonts w:ascii="Arial" w:cs="Arial" w:eastAsia="Arial" w:hAnsi="Arial"/>
          <w:b w:val="false"/>
          <w:bCs w:val="false"/>
          <w:i w:val="false"/>
          <w:iCs w:val="false"/>
          <w:color w:val="1A1A1A"/>
          <w:sz w:val="18"/>
          <w:szCs w:val="18"/>
        </w:rPr>
        <w:t xml:space="preserve">Network security zones confirmed — OT segment isolated, IIoT segment defined, no direct OT to IT path</w:t>
      </w:r>
    </w:p>
    <w:p>
      <w:pPr>
        <w:pStyle w:val="ListParagraph"/>
        <w:numPr>
          <w:ilvl w:val="0"/>
          <w:numId w:val="3"/>
        </w:numPr>
        <w:spacing w:after="60" w:before="0"/>
      </w:pPr>
      <w:r>
        <w:rPr>
          <w:rFonts w:ascii="Arial" w:cs="Arial" w:eastAsia="Arial" w:hAnsi="Arial"/>
          <w:b w:val="false"/>
          <w:bCs w:val="false"/>
          <w:i w:val="false"/>
          <w:iCs w:val="false"/>
          <w:color w:val="1A1A1A"/>
          <w:sz w:val="18"/>
          <w:szCs w:val="18"/>
        </w:rPr>
        <w:t xml:space="preserve">MQTT broker authentication and ACL enforcement verified — anonymous connections rejected</w:t>
      </w:r>
    </w:p>
    <w:p>
      <w:pPr>
        <w:pStyle w:val="ListParagraph"/>
        <w:numPr>
          <w:ilvl w:val="0"/>
          <w:numId w:val="3"/>
        </w:numPr>
        <w:spacing w:after="60" w:before="0"/>
      </w:pPr>
      <w:r>
        <w:rPr>
          <w:rFonts w:ascii="Arial" w:cs="Arial" w:eastAsia="Arial" w:hAnsi="Arial"/>
          <w:b w:val="false"/>
          <w:bCs w:val="false"/>
          <w:i w:val="false"/>
          <w:iCs w:val="false"/>
          <w:color w:val="1A1A1A"/>
          <w:sz w:val="18"/>
          <w:szCs w:val="18"/>
        </w:rPr>
        <w:t xml:space="preserve">TLS encryption confirmed on all MQTT connections</w:t>
      </w:r>
    </w:p>
    <w:p>
      <w:pPr>
        <w:pStyle w:val="ListParagraph"/>
        <w:numPr>
          <w:ilvl w:val="0"/>
          <w:numId w:val="3"/>
        </w:numPr>
        <w:spacing w:after="60" w:before="0"/>
      </w:pPr>
      <w:r>
        <w:rPr>
          <w:rFonts w:ascii="Arial" w:cs="Arial" w:eastAsia="Arial" w:hAnsi="Arial"/>
          <w:b w:val="false"/>
          <w:bCs w:val="false"/>
          <w:i w:val="false"/>
          <w:iCs w:val="false"/>
          <w:color w:val="1A1A1A"/>
          <w:sz w:val="18"/>
          <w:szCs w:val="18"/>
        </w:rPr>
        <w:t xml:space="preserve">Remote access verification — live rack data confirmed accessible via Tailscale from outside home network</w:t>
      </w:r>
    </w:p>
    <w:p>
      <w:pPr>
        <w:pStyle w:val="ListParagraph"/>
        <w:numPr>
          <w:ilvl w:val="0"/>
          <w:numId w:val="3"/>
        </w:numPr>
        <w:spacing w:after="60" w:before="0"/>
      </w:pPr>
      <w:r>
        <w:rPr>
          <w:rFonts w:ascii="Arial" w:cs="Arial" w:eastAsia="Arial" w:hAnsi="Arial"/>
          <w:b w:val="false"/>
          <w:bCs w:val="false"/>
          <w:i w:val="false"/>
          <w:iCs w:val="false"/>
          <w:color w:val="1A1A1A"/>
          <w:sz w:val="18"/>
          <w:szCs w:val="18"/>
        </w:rPr>
        <w:t xml:space="preserve">NAS configuration files committed to version control</w:t>
      </w:r>
    </w:p>
    <w:p>
      <w:pPr>
        <w:pStyle w:val="ListParagraph"/>
        <w:numPr>
          <w:ilvl w:val="0"/>
          <w:numId w:val="3"/>
        </w:numPr>
        <w:spacing w:after="60" w:before="0"/>
      </w:pPr>
      <w:r>
        <w:rPr>
          <w:rFonts w:ascii="Arial" w:cs="Arial" w:eastAsia="Arial" w:hAnsi="Arial"/>
          <w:b w:val="false"/>
          <w:bCs w:val="false"/>
          <w:i w:val="false"/>
          <w:iCs w:val="false"/>
          <w:color w:val="1A1A1A"/>
          <w:sz w:val="18"/>
          <w:szCs w:val="18"/>
        </w:rPr>
        <w:t xml:space="preserve">Gate G2 sign-off documented in project record</w:t>
      </w:r>
    </w:p>
    <w:p>
      <w:pPr>
        <w:spacing w:after="0" w:before="28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A3A5C" w:val="clear"/>
            <w:tcMar>
              <w:top w:type="dxa" w:w="80"/>
              <w:left w:type="dxa" w:w="240"/>
              <w:bottom w:type="dxa" w:w="80"/>
              <w:right w:type="dxa" w:w="240"/>
            </w:tcMar>
          </w:tcPr>
          <w:p>
            <w:pPr>
              <w:spacing w:after="40" w:before="40"/>
            </w:pPr>
            <w:r>
              <w:rPr>
                <w:rFonts w:ascii="Arial" w:cs="Arial" w:eastAsia="Arial" w:hAnsi="Arial"/>
                <w:b/>
                <w:bCs/>
                <w:i w:val="false"/>
                <w:iCs w:val="false"/>
                <w:color w:val="00ACC1"/>
                <w:sz w:val="20"/>
                <w:szCs w:val="20"/>
              </w:rPr>
              <w:t xml:space="preserve">GATE G3  </w:t>
            </w:r>
            <w:r>
              <w:rPr>
                <w:rFonts w:ascii="Arial" w:cs="Arial" w:eastAsia="Arial" w:hAnsi="Arial"/>
                <w:b/>
                <w:bCs/>
                <w:i w:val="false"/>
                <w:iCs w:val="false"/>
                <w:color w:val="4477AA"/>
                <w:sz w:val="20"/>
                <w:szCs w:val="20"/>
              </w:rPr>
              <w:t xml:space="preserve">——  </w:t>
            </w:r>
            <w:r>
              <w:rPr>
                <w:rFonts w:ascii="Arial" w:cs="Arial" w:eastAsia="Arial" w:hAnsi="Arial"/>
                <w:b/>
                <w:bCs/>
                <w:i w:val="false"/>
                <w:iCs w:val="false"/>
                <w:color w:val="FFFFFF"/>
                <w:sz w:val="20"/>
                <w:szCs w:val="20"/>
              </w:rPr>
              <w:t xml:space="preserve">Production Visibility and Historian</w:t>
            </w:r>
          </w:p>
        </w:tc>
      </w:tr>
    </w:tbl>
    <w:p>
      <w:pPr>
        <w:spacing w:after="0" w:before="120"/>
      </w:pPr>
      <w:r>
        <w:t xml:space="preserve"/>
      </w:r>
    </w:p>
    <w:p>
      <w:pPr>
        <w:spacing w:after="120" w:before="0" w:line="320"/>
      </w:pPr>
      <w:r>
        <w:rPr>
          <w:rFonts w:ascii="Arial" w:cs="Arial" w:eastAsia="Arial" w:hAnsi="Arial"/>
          <w:b w:val="false"/>
          <w:bCs w:val="false"/>
          <w:i w:val="false"/>
          <w:iCs w:val="false"/>
          <w:color w:val="1A1A1A"/>
          <w:sz w:val="19"/>
          <w:szCs w:val="19"/>
        </w:rPr>
        <w:t xml:space="preserve">Gate G3 confirms that the production visibility and historian layer is fully operational before physical system expansion begins. All machines must be visible, OEE must be calculating in real time, and the historian must be accumulating data. This gate establishes the baseline state of the system before the operator panel rack is added.</w:t>
      </w:r>
    </w:p>
    <w:p>
      <w:pPr>
        <w:spacing w:after="0" w:before="100"/>
      </w:pPr>
      <w:r>
        <w:t xml:space="preserve"/>
      </w:r>
    </w:p>
    <w:p>
      <w:pPr>
        <w:spacing w:after="60" w:before="80"/>
      </w:pPr>
      <w:r>
        <w:rPr>
          <w:rFonts w:ascii="Arial" w:cs="Arial" w:eastAsia="Arial" w:hAnsi="Arial"/>
          <w:b/>
          <w:bCs/>
          <w:i w:val="false"/>
          <w:iCs w:val="false"/>
          <w:color w:val="2E5FAB"/>
          <w:sz w:val="18"/>
          <w:szCs w:val="18"/>
        </w:rPr>
        <w:t xml:space="preserve">Entry Criteria:</w:t>
      </w:r>
    </w:p>
    <w:p>
      <w:pPr>
        <w:pStyle w:val="ListParagraph"/>
        <w:numPr>
          <w:ilvl w:val="0"/>
          <w:numId w:val="3"/>
        </w:numPr>
        <w:spacing w:after="60" w:before="0"/>
      </w:pPr>
      <w:r>
        <w:rPr>
          <w:rFonts w:ascii="Arial" w:cs="Arial" w:eastAsia="Arial" w:hAnsi="Arial"/>
          <w:b w:val="false"/>
          <w:bCs w:val="false"/>
          <w:i w:val="false"/>
          <w:iCs w:val="false"/>
          <w:color w:val="1A1A1A"/>
          <w:sz w:val="18"/>
          <w:szCs w:val="18"/>
        </w:rPr>
        <w:t xml:space="preserve">Grafana dashboards complete for all 11 controllers and both sites — machine detail and site overview views</w:t>
      </w:r>
    </w:p>
    <w:p>
      <w:pPr>
        <w:pStyle w:val="ListParagraph"/>
        <w:numPr>
          <w:ilvl w:val="0"/>
          <w:numId w:val="3"/>
        </w:numPr>
        <w:spacing w:after="60" w:before="0"/>
      </w:pPr>
      <w:r>
        <w:rPr>
          <w:rFonts w:ascii="Arial" w:cs="Arial" w:eastAsia="Arial" w:hAnsi="Arial"/>
          <w:b w:val="false"/>
          <w:bCs w:val="false"/>
          <w:i w:val="false"/>
          <w:iCs w:val="false"/>
          <w:color w:val="1A1A1A"/>
          <w:sz w:val="18"/>
          <w:szCs w:val="18"/>
        </w:rPr>
        <w:t xml:space="preserve">OEE calculating in real time for all production machines — Availability, Performance, Quality</w:t>
      </w:r>
    </w:p>
    <w:p>
      <w:pPr>
        <w:pStyle w:val="ListParagraph"/>
        <w:numPr>
          <w:ilvl w:val="0"/>
          <w:numId w:val="3"/>
        </w:numPr>
        <w:spacing w:after="60" w:before="0"/>
      </w:pPr>
      <w:r>
        <w:rPr>
          <w:rFonts w:ascii="Arial" w:cs="Arial" w:eastAsia="Arial" w:hAnsi="Arial"/>
          <w:b w:val="false"/>
          <w:bCs w:val="false"/>
          <w:i w:val="false"/>
          <w:iCs w:val="false"/>
          <w:color w:val="1A1A1A"/>
          <w:sz w:val="18"/>
          <w:szCs w:val="18"/>
        </w:rPr>
        <w:t xml:space="preserve">InfluxDB historian accumulating data at full resolution for all metrics</w:t>
      </w:r>
    </w:p>
    <w:p>
      <w:pPr>
        <w:pStyle w:val="ListParagraph"/>
        <w:numPr>
          <w:ilvl w:val="0"/>
          <w:numId w:val="3"/>
        </w:numPr>
        <w:spacing w:after="60" w:before="0"/>
      </w:pPr>
      <w:r>
        <w:rPr>
          <w:rFonts w:ascii="Arial" w:cs="Arial" w:eastAsia="Arial" w:hAnsi="Arial"/>
          <w:b w:val="false"/>
          <w:bCs w:val="false"/>
          <w:i w:val="false"/>
          <w:iCs w:val="false"/>
          <w:color w:val="1A1A1A"/>
          <w:sz w:val="18"/>
          <w:szCs w:val="18"/>
        </w:rPr>
        <w:t xml:space="preserve">Shift reporting operational — shift start, end, and production totals captured per shift</w:t>
      </w:r>
    </w:p>
    <w:p>
      <w:pPr>
        <w:pStyle w:val="ListParagraph"/>
        <w:numPr>
          <w:ilvl w:val="0"/>
          <w:numId w:val="3"/>
        </w:numPr>
        <w:spacing w:after="60" w:before="0"/>
      </w:pPr>
      <w:r>
        <w:rPr>
          <w:rFonts w:ascii="Arial" w:cs="Arial" w:eastAsia="Arial" w:hAnsi="Arial"/>
          <w:b w:val="false"/>
          <w:bCs w:val="false"/>
          <w:i w:val="false"/>
          <w:iCs w:val="false"/>
          <w:color w:val="1A1A1A"/>
          <w:sz w:val="18"/>
          <w:szCs w:val="18"/>
        </w:rPr>
        <w:t xml:space="preserve">Cross-site production visibility confirmed — Site 1 output and Site 2 receiving reconciled automatically</w:t>
      </w:r>
    </w:p>
    <w:p>
      <w:pPr>
        <w:pStyle w:val="ListParagraph"/>
        <w:numPr>
          <w:ilvl w:val="0"/>
          <w:numId w:val="3"/>
        </w:numPr>
        <w:spacing w:after="60" w:before="0"/>
      </w:pPr>
      <w:r>
        <w:rPr>
          <w:rFonts w:ascii="Arial" w:cs="Arial" w:eastAsia="Arial" w:hAnsi="Arial"/>
          <w:b w:val="false"/>
          <w:bCs w:val="false"/>
          <w:i w:val="false"/>
          <w:iCs w:val="false"/>
          <w:color w:val="1A1A1A"/>
          <w:sz w:val="18"/>
          <w:szCs w:val="18"/>
        </w:rPr>
        <w:t xml:space="preserve">Downtime events captured automatically — timestamp, duration, and fault code for all machines</w:t>
      </w:r>
    </w:p>
    <w:p>
      <w:pPr>
        <w:pStyle w:val="ListParagraph"/>
        <w:numPr>
          <w:ilvl w:val="0"/>
          <w:numId w:val="3"/>
        </w:numPr>
        <w:spacing w:after="60" w:before="0"/>
      </w:pPr>
      <w:r>
        <w:rPr>
          <w:rFonts w:ascii="Arial" w:cs="Arial" w:eastAsia="Arial" w:hAnsi="Arial"/>
          <w:b w:val="false"/>
          <w:bCs w:val="false"/>
          <w:i w:val="false"/>
          <w:iCs w:val="false"/>
          <w:color w:val="1A1A1A"/>
          <w:sz w:val="18"/>
          <w:szCs w:val="18"/>
        </w:rPr>
        <w:t xml:space="preserve">Dashboards accessible via Tailscale from outside home network — verified</w:t>
      </w:r>
    </w:p>
    <w:p>
      <w:pPr>
        <w:pStyle w:val="ListParagraph"/>
        <w:numPr>
          <w:ilvl w:val="0"/>
          <w:numId w:val="3"/>
        </w:numPr>
        <w:spacing w:after="60" w:before="0"/>
      </w:pPr>
      <w:r>
        <w:rPr>
          <w:rFonts w:ascii="Arial" w:cs="Arial" w:eastAsia="Arial" w:hAnsi="Arial"/>
          <w:b w:val="false"/>
          <w:bCs w:val="false"/>
          <w:i w:val="false"/>
          <w:iCs w:val="false"/>
          <w:color w:val="1A1A1A"/>
          <w:sz w:val="18"/>
          <w:szCs w:val="18"/>
        </w:rPr>
        <w:t xml:space="preserve">Historian backup procedure automated and verified — daily minimum</w:t>
      </w:r>
    </w:p>
    <w:p>
      <w:pPr>
        <w:pStyle w:val="ListParagraph"/>
        <w:numPr>
          <w:ilvl w:val="0"/>
          <w:numId w:val="3"/>
        </w:numPr>
        <w:spacing w:after="60" w:before="0"/>
      </w:pPr>
      <w:r>
        <w:rPr>
          <w:rFonts w:ascii="Arial" w:cs="Arial" w:eastAsia="Arial" w:hAnsi="Arial"/>
          <w:b w:val="false"/>
          <w:bCs w:val="false"/>
          <w:i w:val="false"/>
          <w:iCs w:val="false"/>
          <w:color w:val="1A1A1A"/>
          <w:sz w:val="18"/>
          <w:szCs w:val="18"/>
        </w:rPr>
        <w:t xml:space="preserve">Dashboard and historian configuration committed to version control</w:t>
      </w:r>
    </w:p>
    <w:p>
      <w:pPr>
        <w:pStyle w:val="ListParagraph"/>
        <w:numPr>
          <w:ilvl w:val="0"/>
          <w:numId w:val="3"/>
        </w:numPr>
        <w:spacing w:after="60" w:before="0"/>
      </w:pPr>
      <w:r>
        <w:rPr>
          <w:rFonts w:ascii="Arial" w:cs="Arial" w:eastAsia="Arial" w:hAnsi="Arial"/>
          <w:b w:val="false"/>
          <w:bCs w:val="false"/>
          <w:i w:val="false"/>
          <w:iCs w:val="false"/>
          <w:color w:val="1A1A1A"/>
          <w:sz w:val="18"/>
          <w:szCs w:val="18"/>
        </w:rPr>
        <w:t xml:space="preserve">Gate G3 sign-off documented in project record</w:t>
      </w:r>
    </w:p>
    <w:p>
      <w:pPr>
        <w:spacing w:after="0" w:before="28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A3A5C" w:val="clear"/>
            <w:tcMar>
              <w:top w:type="dxa" w:w="80"/>
              <w:left w:type="dxa" w:w="240"/>
              <w:bottom w:type="dxa" w:w="80"/>
              <w:right w:type="dxa" w:w="240"/>
            </w:tcMar>
          </w:tcPr>
          <w:p>
            <w:pPr>
              <w:spacing w:after="40" w:before="40"/>
            </w:pPr>
            <w:r>
              <w:rPr>
                <w:rFonts w:ascii="Arial" w:cs="Arial" w:eastAsia="Arial" w:hAnsi="Arial"/>
                <w:b/>
                <w:bCs/>
                <w:i w:val="false"/>
                <w:iCs w:val="false"/>
                <w:color w:val="00ACC1"/>
                <w:sz w:val="20"/>
                <w:szCs w:val="20"/>
              </w:rPr>
              <w:t xml:space="preserve">GATE G4  </w:t>
            </w:r>
            <w:r>
              <w:rPr>
                <w:rFonts w:ascii="Arial" w:cs="Arial" w:eastAsia="Arial" w:hAnsi="Arial"/>
                <w:b/>
                <w:bCs/>
                <w:i w:val="false"/>
                <w:iCs w:val="false"/>
                <w:color w:val="4477AA"/>
                <w:sz w:val="20"/>
                <w:szCs w:val="20"/>
              </w:rPr>
              <w:t xml:space="preserve">——  </w:t>
            </w:r>
            <w:r>
              <w:rPr>
                <w:rFonts w:ascii="Arial" w:cs="Arial" w:eastAsia="Arial" w:hAnsi="Arial"/>
                <w:b/>
                <w:bCs/>
                <w:i w:val="false"/>
                <w:iCs w:val="false"/>
                <w:color w:val="FFFFFF"/>
                <w:sz w:val="20"/>
                <w:szCs w:val="20"/>
              </w:rPr>
              <w:t xml:space="preserve">Physical System Expansion and UNS Extensibility</w:t>
            </w:r>
          </w:p>
        </w:tc>
      </w:tr>
    </w:tbl>
    <w:p>
      <w:pPr>
        <w:spacing w:after="0" w:before="120"/>
      </w:pPr>
      <w:r>
        <w:t xml:space="preserve"/>
      </w:r>
    </w:p>
    <w:p>
      <w:pPr>
        <w:spacing w:after="120" w:before="0" w:line="320"/>
      </w:pPr>
      <w:r>
        <w:rPr>
          <w:rFonts w:ascii="Arial" w:cs="Arial" w:eastAsia="Arial" w:hAnsi="Arial"/>
          <w:b w:val="false"/>
          <w:bCs w:val="false"/>
          <w:i w:val="false"/>
          <w:iCs w:val="false"/>
          <w:color w:val="1A1A1A"/>
          <w:sz w:val="19"/>
          <w:szCs w:val="19"/>
        </w:rPr>
        <w:t xml:space="preserve">Gate G4 confirms that the operator panel rack has been built, commissioned, and successfully integrated into the fully operational system without modifying any existing data architecture. The key gate criterion is UNS extensibility — new equipment must appear in existing dashboards and the historian without any reconfiguration of what was already running.</w:t>
      </w:r>
    </w:p>
    <w:p>
      <w:pPr>
        <w:spacing w:after="0" w:before="100"/>
      </w:pPr>
      <w:r>
        <w:t xml:space="preserve"/>
      </w:r>
    </w:p>
    <w:p>
      <w:pPr>
        <w:spacing w:after="60" w:before="80"/>
      </w:pPr>
      <w:r>
        <w:rPr>
          <w:rFonts w:ascii="Arial" w:cs="Arial" w:eastAsia="Arial" w:hAnsi="Arial"/>
          <w:b/>
          <w:bCs/>
          <w:i w:val="false"/>
          <w:iCs w:val="false"/>
          <w:color w:val="2E5FAB"/>
          <w:sz w:val="18"/>
          <w:szCs w:val="18"/>
        </w:rPr>
        <w:t xml:space="preserve">Entry Criteria:</w:t>
      </w:r>
    </w:p>
    <w:p>
      <w:pPr>
        <w:pStyle w:val="ListParagraph"/>
        <w:numPr>
          <w:ilvl w:val="0"/>
          <w:numId w:val="3"/>
        </w:numPr>
        <w:spacing w:after="60" w:before="0"/>
      </w:pPr>
      <w:r>
        <w:rPr>
          <w:rFonts w:ascii="Arial" w:cs="Arial" w:eastAsia="Arial" w:hAnsi="Arial"/>
          <w:b w:val="false"/>
          <w:bCs w:val="false"/>
          <w:i w:val="false"/>
          <w:iCs w:val="false"/>
          <w:color w:val="1A1A1A"/>
          <w:sz w:val="18"/>
          <w:szCs w:val="18"/>
        </w:rPr>
        <w:t xml:space="preserve">Operator panel rack sourced and assembled — 20U or 24U Riveco matching frame</w:t>
      </w:r>
    </w:p>
    <w:p>
      <w:pPr>
        <w:pStyle w:val="ListParagraph"/>
        <w:numPr>
          <w:ilvl w:val="0"/>
          <w:numId w:val="3"/>
        </w:numPr>
        <w:spacing w:after="60" w:before="0"/>
      </w:pPr>
      <w:r>
        <w:rPr>
          <w:rFonts w:ascii="Arial" w:cs="Arial" w:eastAsia="Arial" w:hAnsi="Arial"/>
          <w:b w:val="false"/>
          <w:bCs w:val="false"/>
          <w:i w:val="false"/>
          <w:iCs w:val="false"/>
          <w:color w:val="1A1A1A"/>
          <w:sz w:val="18"/>
          <w:szCs w:val="18"/>
        </w:rPr>
        <w:t xml:space="preserve">groov EPIC-PR1 relocated and operational in operator panel rack</w:t>
      </w:r>
    </w:p>
    <w:p>
      <w:pPr>
        <w:pStyle w:val="ListParagraph"/>
        <w:numPr>
          <w:ilvl w:val="0"/>
          <w:numId w:val="3"/>
        </w:numPr>
        <w:spacing w:after="60" w:before="0"/>
      </w:pPr>
      <w:r>
        <w:rPr>
          <w:rFonts w:ascii="Arial" w:cs="Arial" w:eastAsia="Arial" w:hAnsi="Arial"/>
          <w:b w:val="false"/>
          <w:bCs w:val="false"/>
          <w:i w:val="false"/>
          <w:iCs w:val="false"/>
          <w:color w:val="1A1A1A"/>
          <w:sz w:val="18"/>
          <w:szCs w:val="18"/>
        </w:rPr>
        <w:t xml:space="preserve">PanelView 800 operational in operator panel rack</w:t>
      </w:r>
    </w:p>
    <w:p>
      <w:pPr>
        <w:pStyle w:val="ListParagraph"/>
        <w:numPr>
          <w:ilvl w:val="0"/>
          <w:numId w:val="3"/>
        </w:numPr>
        <w:spacing w:after="60" w:before="0"/>
      </w:pPr>
      <w:r>
        <w:rPr>
          <w:rFonts w:ascii="Arial" w:cs="Arial" w:eastAsia="Arial" w:hAnsi="Arial"/>
          <w:b w:val="false"/>
          <w:bCs w:val="false"/>
          <w:i w:val="false"/>
          <w:iCs w:val="false"/>
          <w:color w:val="1A1A1A"/>
          <w:sz w:val="18"/>
          <w:szCs w:val="18"/>
        </w:rPr>
        <w:t xml:space="preserve">Physical operator I/O operational — pushbuttons, pilot lights, E-stop all functional</w:t>
      </w:r>
    </w:p>
    <w:p>
      <w:pPr>
        <w:pStyle w:val="ListParagraph"/>
        <w:numPr>
          <w:ilvl w:val="0"/>
          <w:numId w:val="3"/>
        </w:numPr>
        <w:spacing w:after="60" w:before="0"/>
      </w:pPr>
      <w:r>
        <w:rPr>
          <w:rFonts w:ascii="Arial" w:cs="Arial" w:eastAsia="Arial" w:hAnsi="Arial"/>
          <w:b w:val="false"/>
          <w:bCs w:val="false"/>
          <w:i w:val="false"/>
          <w:iCs w:val="false"/>
          <w:color w:val="1A1A1A"/>
          <w:sz w:val="18"/>
          <w:szCs w:val="18"/>
        </w:rPr>
        <w:t xml:space="preserve">PowerFlex 525 installed and operational — pump motor running at variable speed via EtherNet/IP</w:t>
      </w:r>
    </w:p>
    <w:p>
      <w:pPr>
        <w:pStyle w:val="ListParagraph"/>
        <w:numPr>
          <w:ilvl w:val="0"/>
          <w:numId w:val="3"/>
        </w:numPr>
        <w:spacing w:after="60" w:before="0"/>
      </w:pPr>
      <w:r>
        <w:rPr>
          <w:rFonts w:ascii="Arial" w:cs="Arial" w:eastAsia="Arial" w:hAnsi="Arial"/>
          <w:b w:val="false"/>
          <w:bCs w:val="false"/>
          <w:i w:val="false"/>
          <w:iCs w:val="false"/>
          <w:color w:val="1A1A1A"/>
          <w:sz w:val="18"/>
          <w:szCs w:val="18"/>
        </w:rPr>
        <w:t xml:space="preserve">groov View HMI operational on operator panel rack display</w:t>
      </w:r>
    </w:p>
    <w:p>
      <w:pPr>
        <w:pStyle w:val="ListParagraph"/>
        <w:numPr>
          <w:ilvl w:val="0"/>
          <w:numId w:val="3"/>
        </w:numPr>
        <w:spacing w:after="60" w:before="0"/>
      </w:pPr>
      <w:r>
        <w:rPr>
          <w:rFonts w:ascii="Arial" w:cs="Arial" w:eastAsia="Arial" w:hAnsi="Arial"/>
          <w:b w:val="false"/>
          <w:bCs w:val="false"/>
          <w:i w:val="false"/>
          <w:iCs w:val="false"/>
          <w:color w:val="1A1A1A"/>
          <w:sz w:val="18"/>
          <w:szCs w:val="18"/>
        </w:rPr>
        <w:t xml:space="preserve">Operator panel rack connected to rack network via Cisco switch</w:t>
      </w:r>
    </w:p>
    <w:p>
      <w:pPr>
        <w:pStyle w:val="ListParagraph"/>
        <w:numPr>
          <w:ilvl w:val="0"/>
          <w:numId w:val="3"/>
        </w:numPr>
        <w:spacing w:after="60" w:before="0"/>
      </w:pPr>
      <w:r>
        <w:rPr>
          <w:rFonts w:ascii="Arial" w:cs="Arial" w:eastAsia="Arial" w:hAnsi="Arial"/>
          <w:b w:val="false"/>
          <w:bCs w:val="false"/>
          <w:i w:val="false"/>
          <w:iCs w:val="false"/>
          <w:color w:val="1A1A1A"/>
          <w:sz w:val="18"/>
          <w:szCs w:val="18"/>
        </w:rPr>
        <w:t xml:space="preserve">Operator panel rack publishing new metrics to UNS</w:t>
      </w:r>
    </w:p>
    <w:p>
      <w:pPr>
        <w:pStyle w:val="ListParagraph"/>
        <w:numPr>
          <w:ilvl w:val="0"/>
          <w:numId w:val="3"/>
        </w:numPr>
        <w:spacing w:after="60" w:before="0"/>
      </w:pPr>
      <w:r>
        <w:rPr>
          <w:rFonts w:ascii="Arial" w:cs="Arial" w:eastAsia="Arial" w:hAnsi="Arial"/>
          <w:b w:val="false"/>
          <w:bCs w:val="false"/>
          <w:i w:val="false"/>
          <w:iCs w:val="false"/>
          <w:color w:val="1A1A1A"/>
          <w:sz w:val="18"/>
          <w:szCs w:val="18"/>
        </w:rPr>
        <w:t xml:space="preserve">New equipment data appearing in existing Grafana dashboards without any dashboard reconfiguration</w:t>
      </w:r>
    </w:p>
    <w:p>
      <w:pPr>
        <w:pStyle w:val="ListParagraph"/>
        <w:numPr>
          <w:ilvl w:val="0"/>
          <w:numId w:val="3"/>
        </w:numPr>
        <w:spacing w:after="60" w:before="0"/>
      </w:pPr>
      <w:r>
        <w:rPr>
          <w:rFonts w:ascii="Arial" w:cs="Arial" w:eastAsia="Arial" w:hAnsi="Arial"/>
          <w:b w:val="false"/>
          <w:bCs w:val="false"/>
          <w:i w:val="false"/>
          <w:iCs w:val="false"/>
          <w:color w:val="1A1A1A"/>
          <w:sz w:val="18"/>
          <w:szCs w:val="18"/>
        </w:rPr>
        <w:t xml:space="preserve">New equipment data appearing in InfluxDB historian without any historian reconfiguration</w:t>
      </w:r>
    </w:p>
    <w:p>
      <w:pPr>
        <w:pStyle w:val="ListParagraph"/>
        <w:numPr>
          <w:ilvl w:val="0"/>
          <w:numId w:val="3"/>
        </w:numPr>
        <w:spacing w:after="60" w:before="0"/>
      </w:pPr>
      <w:r>
        <w:rPr>
          <w:rFonts w:ascii="Arial" w:cs="Arial" w:eastAsia="Arial" w:hAnsi="Arial"/>
          <w:b w:val="false"/>
          <w:bCs w:val="false"/>
          <w:i w:val="false"/>
          <w:iCs w:val="false"/>
          <w:color w:val="1A1A1A"/>
          <w:sz w:val="18"/>
          <w:szCs w:val="18"/>
        </w:rPr>
        <w:t xml:space="preserve">No existing architecture modified to accommodate new rack — zero changes to 42U rack configuration</w:t>
      </w:r>
    </w:p>
    <w:p>
      <w:pPr>
        <w:pStyle w:val="ListParagraph"/>
        <w:numPr>
          <w:ilvl w:val="0"/>
          <w:numId w:val="3"/>
        </w:numPr>
        <w:spacing w:after="60" w:before="0"/>
      </w:pPr>
      <w:r>
        <w:rPr>
          <w:rFonts w:ascii="Arial" w:cs="Arial" w:eastAsia="Arial" w:hAnsi="Arial"/>
          <w:b w:val="false"/>
          <w:bCs w:val="false"/>
          <w:i w:val="false"/>
          <w:iCs w:val="false"/>
          <w:color w:val="1A1A1A"/>
          <w:sz w:val="18"/>
          <w:szCs w:val="18"/>
        </w:rPr>
        <w:t xml:space="preserve">UNS extensibility formally documented — observation record of what appeared automatically</w:t>
      </w:r>
    </w:p>
    <w:p>
      <w:pPr>
        <w:pStyle w:val="ListParagraph"/>
        <w:numPr>
          <w:ilvl w:val="0"/>
          <w:numId w:val="3"/>
        </w:numPr>
        <w:spacing w:after="60" w:before="0"/>
      </w:pPr>
      <w:r>
        <w:rPr>
          <w:rFonts w:ascii="Arial" w:cs="Arial" w:eastAsia="Arial" w:hAnsi="Arial"/>
          <w:b w:val="false"/>
          <w:bCs w:val="false"/>
          <w:i w:val="false"/>
          <w:iCs w:val="false"/>
          <w:color w:val="1A1A1A"/>
          <w:sz w:val="18"/>
          <w:szCs w:val="18"/>
        </w:rPr>
        <w:t xml:space="preserve">EPIC configuration committed to version control</w:t>
      </w:r>
    </w:p>
    <w:p>
      <w:pPr>
        <w:pStyle w:val="ListParagraph"/>
        <w:numPr>
          <w:ilvl w:val="0"/>
          <w:numId w:val="3"/>
        </w:numPr>
        <w:spacing w:after="60" w:before="0"/>
      </w:pPr>
      <w:r>
        <w:rPr>
          <w:rFonts w:ascii="Arial" w:cs="Arial" w:eastAsia="Arial" w:hAnsi="Arial"/>
          <w:b w:val="false"/>
          <w:bCs w:val="false"/>
          <w:i w:val="false"/>
          <w:iCs w:val="false"/>
          <w:color w:val="1A1A1A"/>
          <w:sz w:val="18"/>
          <w:szCs w:val="18"/>
        </w:rPr>
        <w:t xml:space="preserve">Gate G4 sign-off documented in project record</w:t>
      </w:r>
    </w:p>
    <w:p>
      <w:pPr>
        <w:spacing w:after="0" w:before="28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A3A5C" w:val="clear"/>
            <w:tcMar>
              <w:top w:type="dxa" w:w="80"/>
              <w:left w:type="dxa" w:w="240"/>
              <w:bottom w:type="dxa" w:w="80"/>
              <w:right w:type="dxa" w:w="240"/>
            </w:tcMar>
          </w:tcPr>
          <w:p>
            <w:pPr>
              <w:spacing w:after="40" w:before="40"/>
            </w:pPr>
            <w:r>
              <w:rPr>
                <w:rFonts w:ascii="Arial" w:cs="Arial" w:eastAsia="Arial" w:hAnsi="Arial"/>
                <w:b/>
                <w:bCs/>
                <w:i w:val="false"/>
                <w:iCs w:val="false"/>
                <w:color w:val="00ACC1"/>
                <w:sz w:val="20"/>
                <w:szCs w:val="20"/>
              </w:rPr>
              <w:t xml:space="preserve">GATE G5  </w:t>
            </w:r>
            <w:r>
              <w:rPr>
                <w:rFonts w:ascii="Arial" w:cs="Arial" w:eastAsia="Arial" w:hAnsi="Arial"/>
                <w:b/>
                <w:bCs/>
                <w:i w:val="false"/>
                <w:iCs w:val="false"/>
                <w:color w:val="4477AA"/>
                <w:sz w:val="20"/>
                <w:szCs w:val="20"/>
              </w:rPr>
              <w:t xml:space="preserve">——  </w:t>
            </w:r>
            <w:r>
              <w:rPr>
                <w:rFonts w:ascii="Arial" w:cs="Arial" w:eastAsia="Arial" w:hAnsi="Arial"/>
                <w:b/>
                <w:bCs/>
                <w:i w:val="false"/>
                <w:iCs w:val="false"/>
                <w:color w:val="FFFFFF"/>
                <w:sz w:val="20"/>
                <w:szCs w:val="20"/>
              </w:rPr>
              <w:t xml:space="preserve">IO-Link Smart Sensors and Process Integration</w:t>
            </w:r>
          </w:p>
        </w:tc>
      </w:tr>
    </w:tbl>
    <w:p>
      <w:pPr>
        <w:spacing w:after="0" w:before="120"/>
      </w:pPr>
      <w:r>
        <w:t xml:space="preserve"/>
      </w:r>
    </w:p>
    <w:p>
      <w:pPr>
        <w:spacing w:after="120" w:before="0" w:line="320"/>
      </w:pPr>
      <w:r>
        <w:rPr>
          <w:rFonts w:ascii="Arial" w:cs="Arial" w:eastAsia="Arial" w:hAnsi="Arial"/>
          <w:b w:val="false"/>
          <w:bCs w:val="false"/>
          <w:i w:val="false"/>
          <w:iCs w:val="false"/>
          <w:color w:val="1A1A1A"/>
          <w:sz w:val="19"/>
          <w:szCs w:val="19"/>
        </w:rPr>
        <w:t xml:space="preserve">Gate G5 confirms that IO-Link smart sensors are fully operational, baseline data has been collected, and all three integration patterns are demonstrated simultaneously before predictive maintenance thresholds are configured. The sensor baseline must be established from real operating data before any threshold values are set.</w:t>
      </w:r>
    </w:p>
    <w:p>
      <w:pPr>
        <w:spacing w:after="0" w:before="100"/>
      </w:pPr>
      <w:r>
        <w:t xml:space="preserve"/>
      </w:r>
    </w:p>
    <w:p>
      <w:pPr>
        <w:spacing w:after="60" w:before="80"/>
      </w:pPr>
      <w:r>
        <w:rPr>
          <w:rFonts w:ascii="Arial" w:cs="Arial" w:eastAsia="Arial" w:hAnsi="Arial"/>
          <w:b/>
          <w:bCs/>
          <w:i w:val="false"/>
          <w:iCs w:val="false"/>
          <w:color w:val="2E5FAB"/>
          <w:sz w:val="18"/>
          <w:szCs w:val="18"/>
        </w:rPr>
        <w:t xml:space="preserve">Entry Criteria:</w:t>
      </w:r>
    </w:p>
    <w:p>
      <w:pPr>
        <w:pStyle w:val="ListParagraph"/>
        <w:numPr>
          <w:ilvl w:val="0"/>
          <w:numId w:val="3"/>
        </w:numPr>
        <w:spacing w:after="60" w:before="0"/>
      </w:pPr>
      <w:r>
        <w:rPr>
          <w:rFonts w:ascii="Arial" w:cs="Arial" w:eastAsia="Arial" w:hAnsi="Arial"/>
          <w:b w:val="false"/>
          <w:bCs w:val="false"/>
          <w:i w:val="false"/>
          <w:iCs w:val="false"/>
          <w:color w:val="1A1A1A"/>
          <w:sz w:val="18"/>
          <w:szCs w:val="18"/>
        </w:rPr>
        <w:t xml:space="preserve">IFM AL1590 IO-Link master commissioned in operator panel rack — all 8 ports active</w:t>
      </w:r>
    </w:p>
    <w:p>
      <w:pPr>
        <w:pStyle w:val="ListParagraph"/>
        <w:numPr>
          <w:ilvl w:val="0"/>
          <w:numId w:val="3"/>
        </w:numPr>
        <w:spacing w:after="60" w:before="0"/>
      </w:pPr>
      <w:r>
        <w:rPr>
          <w:rFonts w:ascii="Arial" w:cs="Arial" w:eastAsia="Arial" w:hAnsi="Arial"/>
          <w:b w:val="false"/>
          <w:bCs w:val="false"/>
          <w:i w:val="false"/>
          <w:iCs w:val="false"/>
          <w:color w:val="1A1A1A"/>
          <w:sz w:val="18"/>
          <w:szCs w:val="18"/>
        </w:rPr>
        <w:t xml:space="preserve">Temperature sensor operational and publishing to UNS</w:t>
      </w:r>
    </w:p>
    <w:p>
      <w:pPr>
        <w:pStyle w:val="ListParagraph"/>
        <w:numPr>
          <w:ilvl w:val="0"/>
          <w:numId w:val="3"/>
        </w:numPr>
        <w:spacing w:after="60" w:before="0"/>
      </w:pPr>
      <w:r>
        <w:rPr>
          <w:rFonts w:ascii="Arial" w:cs="Arial" w:eastAsia="Arial" w:hAnsi="Arial"/>
          <w:b w:val="false"/>
          <w:bCs w:val="false"/>
          <w:i w:val="false"/>
          <w:iCs w:val="false"/>
          <w:color w:val="1A1A1A"/>
          <w:sz w:val="18"/>
          <w:szCs w:val="18"/>
        </w:rPr>
        <w:t xml:space="preserve">Pressure sensor operational and publishing to UNS</w:t>
      </w:r>
    </w:p>
    <w:p>
      <w:pPr>
        <w:pStyle w:val="ListParagraph"/>
        <w:numPr>
          <w:ilvl w:val="0"/>
          <w:numId w:val="3"/>
        </w:numPr>
        <w:spacing w:after="60" w:before="0"/>
      </w:pPr>
      <w:r>
        <w:rPr>
          <w:rFonts w:ascii="Arial" w:cs="Arial" w:eastAsia="Arial" w:hAnsi="Arial"/>
          <w:b w:val="false"/>
          <w:bCs w:val="false"/>
          <w:i w:val="false"/>
          <w:iCs w:val="false"/>
          <w:color w:val="1A1A1A"/>
          <w:sz w:val="18"/>
          <w:szCs w:val="18"/>
        </w:rPr>
        <w:t xml:space="preserve">Flow sensor operational and publishing to UNS</w:t>
      </w:r>
    </w:p>
    <w:p>
      <w:pPr>
        <w:pStyle w:val="ListParagraph"/>
        <w:numPr>
          <w:ilvl w:val="0"/>
          <w:numId w:val="3"/>
        </w:numPr>
        <w:spacing w:after="60" w:before="0"/>
      </w:pPr>
      <w:r>
        <w:rPr>
          <w:rFonts w:ascii="Arial" w:cs="Arial" w:eastAsia="Arial" w:hAnsi="Arial"/>
          <w:b w:val="false"/>
          <w:bCs w:val="false"/>
          <w:i w:val="false"/>
          <w:iCs w:val="false"/>
          <w:color w:val="1A1A1A"/>
          <w:sz w:val="18"/>
          <w:szCs w:val="18"/>
        </w:rPr>
        <w:t xml:space="preserve">Vibration sensor operational and publishing to UNS</w:t>
      </w:r>
    </w:p>
    <w:p>
      <w:pPr>
        <w:pStyle w:val="ListParagraph"/>
        <w:numPr>
          <w:ilvl w:val="0"/>
          <w:numId w:val="3"/>
        </w:numPr>
        <w:spacing w:after="60" w:before="0"/>
      </w:pPr>
      <w:r>
        <w:rPr>
          <w:rFonts w:ascii="Arial" w:cs="Arial" w:eastAsia="Arial" w:hAnsi="Arial"/>
          <w:b w:val="false"/>
          <w:bCs w:val="false"/>
          <w:i w:val="false"/>
          <w:iCs w:val="false"/>
          <w:color w:val="1A1A1A"/>
          <w:sz w:val="18"/>
          <w:szCs w:val="18"/>
        </w:rPr>
        <w:t xml:space="preserve">All four sensors publishing to UNS alongside PLC simulation data — no conflicts</w:t>
      </w:r>
    </w:p>
    <w:p>
      <w:pPr>
        <w:pStyle w:val="ListParagraph"/>
        <w:numPr>
          <w:ilvl w:val="0"/>
          <w:numId w:val="3"/>
        </w:numPr>
        <w:spacing w:after="60" w:before="0"/>
      </w:pPr>
      <w:r>
        <w:rPr>
          <w:rFonts w:ascii="Arial" w:cs="Arial" w:eastAsia="Arial" w:hAnsi="Arial"/>
          <w:b w:val="false"/>
          <w:bCs w:val="false"/>
          <w:i w:val="false"/>
          <w:iCs w:val="false"/>
          <w:color w:val="1A1A1A"/>
          <w:sz w:val="18"/>
          <w:szCs w:val="18"/>
        </w:rPr>
        <w:t xml:space="preserve">Integration Pattern 1 confirmed — edge device via EPIC Node-RED</w:t>
      </w:r>
    </w:p>
    <w:p>
      <w:pPr>
        <w:pStyle w:val="ListParagraph"/>
        <w:numPr>
          <w:ilvl w:val="0"/>
          <w:numId w:val="3"/>
        </w:numPr>
        <w:spacing w:after="60" w:before="0"/>
      </w:pPr>
      <w:r>
        <w:rPr>
          <w:rFonts w:ascii="Arial" w:cs="Arial" w:eastAsia="Arial" w:hAnsi="Arial"/>
          <w:b w:val="false"/>
          <w:bCs w:val="false"/>
          <w:i w:val="false"/>
          <w:iCs w:val="false"/>
          <w:color w:val="1A1A1A"/>
          <w:sz w:val="18"/>
          <w:szCs w:val="18"/>
        </w:rPr>
        <w:t xml:space="preserve">Integration Pattern 2 confirmed — direct EtherNet/IP via CompactLogix L24ER</w:t>
      </w:r>
    </w:p>
    <w:p>
      <w:pPr>
        <w:pStyle w:val="ListParagraph"/>
        <w:numPr>
          <w:ilvl w:val="0"/>
          <w:numId w:val="3"/>
        </w:numPr>
        <w:spacing w:after="60" w:before="0"/>
      </w:pPr>
      <w:r>
        <w:rPr>
          <w:rFonts w:ascii="Arial" w:cs="Arial" w:eastAsia="Arial" w:hAnsi="Arial"/>
          <w:b w:val="false"/>
          <w:bCs w:val="false"/>
          <w:i w:val="false"/>
          <w:iCs w:val="false"/>
          <w:color w:val="1A1A1A"/>
          <w:sz w:val="18"/>
          <w:szCs w:val="18"/>
        </w:rPr>
        <w:t xml:space="preserve">Integration Pattern 3 confirmed — direct PROFINET via S7-1200</w:t>
      </w:r>
    </w:p>
    <w:p>
      <w:pPr>
        <w:pStyle w:val="ListParagraph"/>
        <w:numPr>
          <w:ilvl w:val="0"/>
          <w:numId w:val="3"/>
        </w:numPr>
        <w:spacing w:after="60" w:before="0"/>
      </w:pPr>
      <w:r>
        <w:rPr>
          <w:rFonts w:ascii="Arial" w:cs="Arial" w:eastAsia="Arial" w:hAnsi="Arial"/>
          <w:b w:val="false"/>
          <w:bCs w:val="false"/>
          <w:i w:val="false"/>
          <w:iCs w:val="false"/>
          <w:color w:val="1A1A1A"/>
          <w:sz w:val="18"/>
          <w:szCs w:val="18"/>
        </w:rPr>
        <w:t xml:space="preserve">All three integration patterns confirmed simultaneously — single IO-Link master, three concurrent consumers</w:t>
      </w:r>
    </w:p>
    <w:p>
      <w:pPr>
        <w:pStyle w:val="ListParagraph"/>
        <w:numPr>
          <w:ilvl w:val="0"/>
          <w:numId w:val="3"/>
        </w:numPr>
        <w:spacing w:after="60" w:before="0"/>
      </w:pPr>
      <w:r>
        <w:rPr>
          <w:rFonts w:ascii="Arial" w:cs="Arial" w:eastAsia="Arial" w:hAnsi="Arial"/>
          <w:b w:val="false"/>
          <w:bCs w:val="false"/>
          <w:i w:val="false"/>
          <w:iCs w:val="false"/>
          <w:color w:val="1A1A1A"/>
          <w:sz w:val="18"/>
          <w:szCs w:val="18"/>
        </w:rPr>
        <w:t xml:space="preserve">Sensor baseline established — minimum 72 hours of normal operation data collected in InfluxDB</w:t>
      </w:r>
    </w:p>
    <w:p>
      <w:pPr>
        <w:pStyle w:val="ListParagraph"/>
        <w:numPr>
          <w:ilvl w:val="0"/>
          <w:numId w:val="3"/>
        </w:numPr>
        <w:spacing w:after="60" w:before="0"/>
      </w:pPr>
      <w:r>
        <w:rPr>
          <w:rFonts w:ascii="Arial" w:cs="Arial" w:eastAsia="Arial" w:hAnsi="Arial"/>
          <w:b w:val="false"/>
          <w:bCs w:val="false"/>
          <w:i w:val="false"/>
          <w:iCs w:val="false"/>
          <w:color w:val="1A1A1A"/>
          <w:sz w:val="18"/>
          <w:szCs w:val="18"/>
        </w:rPr>
        <w:t xml:space="preserve">Baseline values documented — normal operating ranges for all four sensors under normal conditions</w:t>
      </w:r>
    </w:p>
    <w:p>
      <w:pPr>
        <w:pStyle w:val="ListParagraph"/>
        <w:numPr>
          <w:ilvl w:val="0"/>
          <w:numId w:val="3"/>
        </w:numPr>
        <w:spacing w:after="60" w:before="0"/>
      </w:pPr>
      <w:r>
        <w:rPr>
          <w:rFonts w:ascii="Arial" w:cs="Arial" w:eastAsia="Arial" w:hAnsi="Arial"/>
          <w:b w:val="false"/>
          <w:bCs w:val="false"/>
          <w:i w:val="false"/>
          <w:iCs w:val="false"/>
          <w:color w:val="1A1A1A"/>
          <w:sz w:val="18"/>
          <w:szCs w:val="18"/>
        </w:rPr>
        <w:t xml:space="preserve">Threshold values defined — deviation from baseline that will trigger maintenance response in Phase 6</w:t>
      </w:r>
    </w:p>
    <w:p>
      <w:pPr>
        <w:pStyle w:val="ListParagraph"/>
        <w:numPr>
          <w:ilvl w:val="0"/>
          <w:numId w:val="3"/>
        </w:numPr>
        <w:spacing w:after="60" w:before="0"/>
      </w:pPr>
      <w:r>
        <w:rPr>
          <w:rFonts w:ascii="Arial" w:cs="Arial" w:eastAsia="Arial" w:hAnsi="Arial"/>
          <w:b w:val="false"/>
          <w:bCs w:val="false"/>
          <w:i w:val="false"/>
          <w:iCs w:val="false"/>
          <w:color w:val="1A1A1A"/>
          <w:sz w:val="18"/>
          <w:szCs w:val="18"/>
        </w:rPr>
        <w:t xml:space="preserve">IO-Link configuration committed to version control</w:t>
      </w:r>
    </w:p>
    <w:p>
      <w:pPr>
        <w:pStyle w:val="ListParagraph"/>
        <w:numPr>
          <w:ilvl w:val="0"/>
          <w:numId w:val="3"/>
        </w:numPr>
        <w:spacing w:after="60" w:before="0"/>
      </w:pPr>
      <w:r>
        <w:rPr>
          <w:rFonts w:ascii="Arial" w:cs="Arial" w:eastAsia="Arial" w:hAnsi="Arial"/>
          <w:b w:val="false"/>
          <w:bCs w:val="false"/>
          <w:i w:val="false"/>
          <w:iCs w:val="false"/>
          <w:color w:val="1A1A1A"/>
          <w:sz w:val="18"/>
          <w:szCs w:val="18"/>
        </w:rPr>
        <w:t xml:space="preserve">Gate G5 sign-off documented in project record</w:t>
      </w:r>
    </w:p>
    <w:p>
      <w:pPr>
        <w:spacing w:after="0" w:before="28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A3A5C" w:val="clear"/>
            <w:tcMar>
              <w:top w:type="dxa" w:w="80"/>
              <w:left w:type="dxa" w:w="240"/>
              <w:bottom w:type="dxa" w:w="80"/>
              <w:right w:type="dxa" w:w="240"/>
            </w:tcMar>
          </w:tcPr>
          <w:p>
            <w:pPr>
              <w:spacing w:after="40" w:before="40"/>
            </w:pPr>
            <w:r>
              <w:rPr>
                <w:rFonts w:ascii="Arial" w:cs="Arial" w:eastAsia="Arial" w:hAnsi="Arial"/>
                <w:b/>
                <w:bCs/>
                <w:i w:val="false"/>
                <w:iCs w:val="false"/>
                <w:color w:val="00ACC1"/>
                <w:sz w:val="20"/>
                <w:szCs w:val="20"/>
              </w:rPr>
              <w:t xml:space="preserve">GATE G6  </w:t>
            </w:r>
            <w:r>
              <w:rPr>
                <w:rFonts w:ascii="Arial" w:cs="Arial" w:eastAsia="Arial" w:hAnsi="Arial"/>
                <w:b/>
                <w:bCs/>
                <w:i w:val="false"/>
                <w:iCs w:val="false"/>
                <w:color w:val="4477AA"/>
                <w:sz w:val="20"/>
                <w:szCs w:val="20"/>
              </w:rPr>
              <w:t xml:space="preserve">——  </w:t>
            </w:r>
            <w:r>
              <w:rPr>
                <w:rFonts w:ascii="Arial" w:cs="Arial" w:eastAsia="Arial" w:hAnsi="Arial"/>
                <w:b/>
                <w:bCs/>
                <w:i w:val="false"/>
                <w:iCs w:val="false"/>
                <w:color w:val="FFFFFF"/>
                <w:sz w:val="20"/>
                <w:szCs w:val="20"/>
              </w:rPr>
              <w:t xml:space="preserve">Predictive Maintenance and Remote Demonstration</w:t>
            </w:r>
          </w:p>
        </w:tc>
      </w:tr>
    </w:tbl>
    <w:p>
      <w:pPr>
        <w:spacing w:after="0" w:before="120"/>
      </w:pPr>
      <w:r>
        <w:t xml:space="preserve"/>
      </w:r>
    </w:p>
    <w:p>
      <w:pPr>
        <w:spacing w:after="120" w:before="0" w:line="320"/>
      </w:pPr>
      <w:r>
        <w:rPr>
          <w:rFonts w:ascii="Arial" w:cs="Arial" w:eastAsia="Arial" w:hAnsi="Arial"/>
          <w:b w:val="false"/>
          <w:bCs w:val="false"/>
          <w:i w:val="false"/>
          <w:iCs w:val="false"/>
          <w:color w:val="1A1A1A"/>
          <w:sz w:val="19"/>
          <w:szCs w:val="19"/>
        </w:rPr>
        <w:t xml:space="preserve">Gate G6 confirms that the complete predictive maintenance workflow is operational end to end and that the system is demonstrable remotely before the independence exercise begins. The automated work order chain from sensor threshold breach to technician notification must be verified. Remote demonstration capability must be confirmed.</w:t>
      </w:r>
    </w:p>
    <w:p>
      <w:pPr>
        <w:spacing w:after="0" w:before="100"/>
      </w:pPr>
      <w:r>
        <w:t xml:space="preserve"/>
      </w:r>
    </w:p>
    <w:p>
      <w:pPr>
        <w:spacing w:after="60" w:before="80"/>
      </w:pPr>
      <w:r>
        <w:rPr>
          <w:rFonts w:ascii="Arial" w:cs="Arial" w:eastAsia="Arial" w:hAnsi="Arial"/>
          <w:b/>
          <w:bCs/>
          <w:i w:val="false"/>
          <w:iCs w:val="false"/>
          <w:color w:val="2E5FAB"/>
          <w:sz w:val="18"/>
          <w:szCs w:val="18"/>
        </w:rPr>
        <w:t xml:space="preserve">Entry Criteria:</w:t>
      </w:r>
    </w:p>
    <w:p>
      <w:pPr>
        <w:pStyle w:val="ListParagraph"/>
        <w:numPr>
          <w:ilvl w:val="0"/>
          <w:numId w:val="3"/>
        </w:numPr>
        <w:spacing w:after="60" w:before="0"/>
      </w:pPr>
      <w:r>
        <w:rPr>
          <w:rFonts w:ascii="Arial" w:cs="Arial" w:eastAsia="Arial" w:hAnsi="Arial"/>
          <w:b w:val="false"/>
          <w:bCs w:val="false"/>
          <w:i w:val="false"/>
          <w:iCs w:val="false"/>
          <w:color w:val="1A1A1A"/>
          <w:sz w:val="18"/>
          <w:szCs w:val="18"/>
        </w:rPr>
        <w:t xml:space="preserve">MaintainX CMMS account configured — asset register complete for all rack equipment</w:t>
      </w:r>
    </w:p>
    <w:p>
      <w:pPr>
        <w:pStyle w:val="ListParagraph"/>
        <w:numPr>
          <w:ilvl w:val="0"/>
          <w:numId w:val="3"/>
        </w:numPr>
        <w:spacing w:after="60" w:before="0"/>
      </w:pPr>
      <w:r>
        <w:rPr>
          <w:rFonts w:ascii="Arial" w:cs="Arial" w:eastAsia="Arial" w:hAnsi="Arial"/>
          <w:b w:val="false"/>
          <w:bCs w:val="false"/>
          <w:i w:val="false"/>
          <w:iCs w:val="false"/>
          <w:color w:val="1A1A1A"/>
          <w:sz w:val="18"/>
          <w:szCs w:val="18"/>
        </w:rPr>
        <w:t xml:space="preserve">Node-RED MaintainX API flow operational — authenticated, tested, credentials secured</w:t>
      </w:r>
    </w:p>
    <w:p>
      <w:pPr>
        <w:pStyle w:val="ListParagraph"/>
        <w:numPr>
          <w:ilvl w:val="0"/>
          <w:numId w:val="3"/>
        </w:numPr>
        <w:spacing w:after="60" w:before="0"/>
      </w:pPr>
      <w:r>
        <w:rPr>
          <w:rFonts w:ascii="Arial" w:cs="Arial" w:eastAsia="Arial" w:hAnsi="Arial"/>
          <w:b w:val="false"/>
          <w:bCs w:val="false"/>
          <w:i w:val="false"/>
          <w:iCs w:val="false"/>
          <w:color w:val="1A1A1A"/>
          <w:sz w:val="18"/>
          <w:szCs w:val="18"/>
        </w:rPr>
        <w:t xml:space="preserve">Sensor threshold configured in Node-RED — based on established baseline values from Gate G5</w:t>
      </w:r>
    </w:p>
    <w:p>
      <w:pPr>
        <w:pStyle w:val="ListParagraph"/>
        <w:numPr>
          <w:ilvl w:val="0"/>
          <w:numId w:val="3"/>
        </w:numPr>
        <w:spacing w:after="60" w:before="0"/>
      </w:pPr>
      <w:r>
        <w:rPr>
          <w:rFonts w:ascii="Arial" w:cs="Arial" w:eastAsia="Arial" w:hAnsi="Arial"/>
          <w:b w:val="false"/>
          <w:bCs w:val="false"/>
          <w:i w:val="false"/>
          <w:iCs w:val="false"/>
          <w:color w:val="1A1A1A"/>
          <w:sz w:val="18"/>
          <w:szCs w:val="18"/>
        </w:rPr>
        <w:t xml:space="preserve">Threshold breach confirmed to trigger MaintainX work order automatically — tested end to end</w:t>
      </w:r>
    </w:p>
    <w:p>
      <w:pPr>
        <w:pStyle w:val="ListParagraph"/>
        <w:numPr>
          <w:ilvl w:val="0"/>
          <w:numId w:val="3"/>
        </w:numPr>
        <w:spacing w:after="60" w:before="0"/>
      </w:pPr>
      <w:r>
        <w:rPr>
          <w:rFonts w:ascii="Arial" w:cs="Arial" w:eastAsia="Arial" w:hAnsi="Arial"/>
          <w:b w:val="false"/>
          <w:bCs w:val="false"/>
          <w:i w:val="false"/>
          <w:iCs w:val="false"/>
          <w:color w:val="1A1A1A"/>
          <w:sz w:val="18"/>
          <w:szCs w:val="18"/>
        </w:rPr>
        <w:t xml:space="preserve">Work order contains correct asset, fault description, and priority level</w:t>
      </w:r>
    </w:p>
    <w:p>
      <w:pPr>
        <w:pStyle w:val="ListParagraph"/>
        <w:numPr>
          <w:ilvl w:val="0"/>
          <w:numId w:val="3"/>
        </w:numPr>
        <w:spacing w:after="60" w:before="0"/>
      </w:pPr>
      <w:r>
        <w:rPr>
          <w:rFonts w:ascii="Arial" w:cs="Arial" w:eastAsia="Arial" w:hAnsi="Arial"/>
          <w:b w:val="false"/>
          <w:bCs w:val="false"/>
          <w:i w:val="false"/>
          <w:iCs w:val="false"/>
          <w:color w:val="1A1A1A"/>
          <w:sz w:val="18"/>
          <w:szCs w:val="18"/>
        </w:rPr>
        <w:t xml:space="preserve">Technician notification confirmed — notification delivered on threshold breach</w:t>
      </w:r>
    </w:p>
    <w:p>
      <w:pPr>
        <w:pStyle w:val="ListParagraph"/>
        <w:numPr>
          <w:ilvl w:val="0"/>
          <w:numId w:val="3"/>
        </w:numPr>
        <w:spacing w:after="60" w:before="0"/>
      </w:pPr>
      <w:r>
        <w:rPr>
          <w:rFonts w:ascii="Arial" w:cs="Arial" w:eastAsia="Arial" w:hAnsi="Arial"/>
          <w:b w:val="false"/>
          <w:bCs w:val="false"/>
          <w:i w:val="false"/>
          <w:iCs w:val="false"/>
          <w:color w:val="1A1A1A"/>
          <w:sz w:val="18"/>
          <w:szCs w:val="18"/>
        </w:rPr>
        <w:t xml:space="preserve">Complete predictive maintenance chain demonstrated — sensor anomaly → broker → Node-RED → MaintainX API → work order → notification</w:t>
      </w:r>
    </w:p>
    <w:p>
      <w:pPr>
        <w:pStyle w:val="ListParagraph"/>
        <w:numPr>
          <w:ilvl w:val="0"/>
          <w:numId w:val="3"/>
        </w:numPr>
        <w:spacing w:after="60" w:before="0"/>
      </w:pPr>
      <w:r>
        <w:rPr>
          <w:rFonts w:ascii="Arial" w:cs="Arial" w:eastAsia="Arial" w:hAnsi="Arial"/>
          <w:b w:val="false"/>
          <w:bCs w:val="false"/>
          <w:i w:val="false"/>
          <w:iCs w:val="false"/>
          <w:color w:val="1A1A1A"/>
          <w:sz w:val="18"/>
          <w:szCs w:val="18"/>
        </w:rPr>
        <w:t xml:space="preserve">Tailscale remote access confirmed — live Grafana dashboards accessible from outside home network</w:t>
      </w:r>
    </w:p>
    <w:p>
      <w:pPr>
        <w:pStyle w:val="ListParagraph"/>
        <w:numPr>
          <w:ilvl w:val="0"/>
          <w:numId w:val="3"/>
        </w:numPr>
        <w:spacing w:after="60" w:before="0"/>
      </w:pPr>
      <w:r>
        <w:rPr>
          <w:rFonts w:ascii="Arial" w:cs="Arial" w:eastAsia="Arial" w:hAnsi="Arial"/>
          <w:b w:val="false"/>
          <w:bCs w:val="false"/>
          <w:i w:val="false"/>
          <w:iCs w:val="false"/>
          <w:color w:val="1A1A1A"/>
          <w:sz w:val="18"/>
          <w:szCs w:val="18"/>
        </w:rPr>
        <w:t xml:space="preserve">Ignition Perspective accessible remotely via Tailscale</w:t>
      </w:r>
    </w:p>
    <w:p>
      <w:pPr>
        <w:pStyle w:val="ListParagraph"/>
        <w:numPr>
          <w:ilvl w:val="0"/>
          <w:numId w:val="3"/>
        </w:numPr>
        <w:spacing w:after="60" w:before="0"/>
      </w:pPr>
      <w:r>
        <w:rPr>
          <w:rFonts w:ascii="Arial" w:cs="Arial" w:eastAsia="Arial" w:hAnsi="Arial"/>
          <w:b w:val="false"/>
          <w:bCs w:val="false"/>
          <w:i w:val="false"/>
          <w:iCs w:val="false"/>
          <w:color w:val="1A1A1A"/>
          <w:sz w:val="18"/>
          <w:szCs w:val="18"/>
        </w:rPr>
        <w:t xml:space="preserve">Webcam operational on 42U rack — live visual feed accessible remotely</w:t>
      </w:r>
    </w:p>
    <w:p>
      <w:pPr>
        <w:pStyle w:val="ListParagraph"/>
        <w:numPr>
          <w:ilvl w:val="0"/>
          <w:numId w:val="3"/>
        </w:numPr>
        <w:spacing w:after="60" w:before="0"/>
      </w:pPr>
      <w:r>
        <w:rPr>
          <w:rFonts w:ascii="Arial" w:cs="Arial" w:eastAsia="Arial" w:hAnsi="Arial"/>
          <w:b w:val="false"/>
          <w:bCs w:val="false"/>
          <w:i w:val="false"/>
          <w:iCs w:val="false"/>
          <w:color w:val="1A1A1A"/>
          <w:sz w:val="18"/>
          <w:szCs w:val="18"/>
        </w:rPr>
        <w:t xml:space="preserve">Operator panel rack demonstrated as portable standalone unit — disconnected from 42U rack and operating independently</w:t>
      </w:r>
    </w:p>
    <w:p>
      <w:pPr>
        <w:pStyle w:val="ListParagraph"/>
        <w:numPr>
          <w:ilvl w:val="0"/>
          <w:numId w:val="3"/>
        </w:numPr>
        <w:spacing w:after="60" w:before="0"/>
      </w:pPr>
      <w:r>
        <w:rPr>
          <w:rFonts w:ascii="Arial" w:cs="Arial" w:eastAsia="Arial" w:hAnsi="Arial"/>
          <w:b w:val="false"/>
          <w:bCs w:val="false"/>
          <w:i w:val="false"/>
          <w:iCs w:val="false"/>
          <w:color w:val="1A1A1A"/>
          <w:sz w:val="18"/>
          <w:szCs w:val="18"/>
        </w:rPr>
        <w:t xml:space="preserve">MaintainX flow and configuration committed to version control</w:t>
      </w:r>
    </w:p>
    <w:p>
      <w:pPr>
        <w:pStyle w:val="ListParagraph"/>
        <w:numPr>
          <w:ilvl w:val="0"/>
          <w:numId w:val="3"/>
        </w:numPr>
        <w:spacing w:after="60" w:before="0"/>
      </w:pPr>
      <w:r>
        <w:rPr>
          <w:rFonts w:ascii="Arial" w:cs="Arial" w:eastAsia="Arial" w:hAnsi="Arial"/>
          <w:b w:val="false"/>
          <w:bCs w:val="false"/>
          <w:i w:val="false"/>
          <w:iCs w:val="false"/>
          <w:color w:val="1A1A1A"/>
          <w:sz w:val="18"/>
          <w:szCs w:val="18"/>
        </w:rPr>
        <w:t xml:space="preserve">Gate G6 sign-off documented in project record</w:t>
      </w:r>
    </w:p>
    <w:p>
      <w:pPr>
        <w:spacing w:after="0" w:before="28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A3A5C" w:val="clear"/>
            <w:tcMar>
              <w:top w:type="dxa" w:w="80"/>
              <w:left w:type="dxa" w:w="240"/>
              <w:bottom w:type="dxa" w:w="80"/>
              <w:right w:type="dxa" w:w="240"/>
            </w:tcMar>
          </w:tcPr>
          <w:p>
            <w:pPr>
              <w:spacing w:after="40" w:before="40"/>
            </w:pPr>
            <w:r>
              <w:rPr>
                <w:rFonts w:ascii="Arial" w:cs="Arial" w:eastAsia="Arial" w:hAnsi="Arial"/>
                <w:b/>
                <w:bCs/>
                <w:i w:val="false"/>
                <w:iCs w:val="false"/>
                <w:color w:val="00ACC1"/>
                <w:sz w:val="20"/>
                <w:szCs w:val="20"/>
              </w:rPr>
              <w:t xml:space="preserve">GATE G7  </w:t>
            </w:r>
            <w:r>
              <w:rPr>
                <w:rFonts w:ascii="Arial" w:cs="Arial" w:eastAsia="Arial" w:hAnsi="Arial"/>
                <w:b/>
                <w:bCs/>
                <w:i w:val="false"/>
                <w:iCs w:val="false"/>
                <w:color w:val="4477AA"/>
                <w:sz w:val="20"/>
                <w:szCs w:val="20"/>
              </w:rPr>
              <w:t xml:space="preserve">——  </w:t>
            </w:r>
            <w:r>
              <w:rPr>
                <w:rFonts w:ascii="Arial" w:cs="Arial" w:eastAsia="Arial" w:hAnsi="Arial"/>
                <w:b/>
                <w:bCs/>
                <w:i w:val="false"/>
                <w:iCs w:val="false"/>
                <w:color w:val="FFFFFF"/>
                <w:sz w:val="20"/>
                <w:szCs w:val="20"/>
              </w:rPr>
              <w:t xml:space="preserve">Independence Validation and Project Closeout</w:t>
            </w:r>
          </w:p>
        </w:tc>
      </w:tr>
    </w:tbl>
    <w:p>
      <w:pPr>
        <w:spacing w:after="0" w:before="120"/>
      </w:pPr>
      <w:r>
        <w:t xml:space="preserve"/>
      </w:r>
    </w:p>
    <w:p>
      <w:pPr>
        <w:spacing w:after="120" w:before="0" w:line="320"/>
      </w:pPr>
      <w:r>
        <w:rPr>
          <w:rFonts w:ascii="Arial" w:cs="Arial" w:eastAsia="Arial" w:hAnsi="Arial"/>
          <w:b w:val="false"/>
          <w:bCs w:val="false"/>
          <w:i w:val="false"/>
          <w:iCs w:val="false"/>
          <w:color w:val="1A1A1A"/>
          <w:sz w:val="19"/>
          <w:szCs w:val="19"/>
        </w:rPr>
        <w:t xml:space="preserve">Gate G7 is the final and most important gate. It confirms that the documentation package is sufficient for an independent operator to extend the system without integrator involvement. A colleague with no prior knowledge of the build performs the independence exercise using only the project documentation. The outcome — success or identified gaps — is documented and any gaps are resolved before the project is formally closed.</w:t>
      </w:r>
    </w:p>
    <w:p>
      <w:pPr>
        <w:spacing w:after="0" w:before="100"/>
      </w:pPr>
      <w:r>
        <w:t xml:space="preserve"/>
      </w:r>
    </w:p>
    <w:p>
      <w:pPr>
        <w:spacing w:after="60" w:before="80"/>
      </w:pPr>
      <w:r>
        <w:rPr>
          <w:rFonts w:ascii="Arial" w:cs="Arial" w:eastAsia="Arial" w:hAnsi="Arial"/>
          <w:b/>
          <w:bCs/>
          <w:i w:val="false"/>
          <w:iCs w:val="false"/>
          <w:color w:val="2E5FAB"/>
          <w:sz w:val="18"/>
          <w:szCs w:val="18"/>
        </w:rPr>
        <w:t xml:space="preserve">Entry Criteria:</w:t>
      </w:r>
    </w:p>
    <w:p>
      <w:pPr>
        <w:pStyle w:val="ListParagraph"/>
        <w:numPr>
          <w:ilvl w:val="0"/>
          <w:numId w:val="3"/>
        </w:numPr>
        <w:spacing w:after="60" w:before="0"/>
      </w:pPr>
      <w:r>
        <w:rPr>
          <w:rFonts w:ascii="Arial" w:cs="Arial" w:eastAsia="Arial" w:hAnsi="Arial"/>
          <w:b w:val="false"/>
          <w:bCs w:val="false"/>
          <w:i w:val="false"/>
          <w:iCs w:val="false"/>
          <w:color w:val="1A1A1A"/>
          <w:sz w:val="18"/>
          <w:szCs w:val="18"/>
        </w:rPr>
        <w:t xml:space="preserve">Independence exercise colleague identified — technical background, no prior knowledge of Loogootee build</w:t>
      </w:r>
    </w:p>
    <w:p>
      <w:pPr>
        <w:pStyle w:val="ListParagraph"/>
        <w:numPr>
          <w:ilvl w:val="0"/>
          <w:numId w:val="3"/>
        </w:numPr>
        <w:spacing w:after="60" w:before="0"/>
      </w:pPr>
      <w:r>
        <w:rPr>
          <w:rFonts w:ascii="Arial" w:cs="Arial" w:eastAsia="Arial" w:hAnsi="Arial"/>
          <w:b w:val="false"/>
          <w:bCs w:val="false"/>
          <w:i w:val="false"/>
          <w:iCs w:val="false"/>
          <w:color w:val="1A1A1A"/>
          <w:sz w:val="18"/>
          <w:szCs w:val="18"/>
        </w:rPr>
        <w:t xml:space="preserve">Complete documentation package assembled and verified — all documents at current revision</w:t>
      </w:r>
    </w:p>
    <w:p>
      <w:pPr>
        <w:pStyle w:val="ListParagraph"/>
        <w:numPr>
          <w:ilvl w:val="0"/>
          <w:numId w:val="3"/>
        </w:numPr>
        <w:spacing w:after="60" w:before="0"/>
      </w:pPr>
      <w:r>
        <w:rPr>
          <w:rFonts w:ascii="Arial" w:cs="Arial" w:eastAsia="Arial" w:hAnsi="Arial"/>
          <w:b w:val="false"/>
          <w:bCs w:val="false"/>
          <w:i w:val="false"/>
          <w:iCs w:val="false"/>
          <w:color w:val="1A1A1A"/>
          <w:sz w:val="18"/>
          <w:szCs w:val="18"/>
        </w:rPr>
        <w:t xml:space="preserve">Operations manual complete and delivered to colleague before exercise begins</w:t>
      </w:r>
    </w:p>
    <w:p>
      <w:pPr>
        <w:pStyle w:val="ListParagraph"/>
        <w:numPr>
          <w:ilvl w:val="0"/>
          <w:numId w:val="3"/>
        </w:numPr>
        <w:spacing w:after="60" w:before="0"/>
      </w:pPr>
      <w:r>
        <w:rPr>
          <w:rFonts w:ascii="Arial" w:cs="Arial" w:eastAsia="Arial" w:hAnsi="Arial"/>
          <w:b w:val="false"/>
          <w:bCs w:val="false"/>
          <w:i w:val="false"/>
          <w:iCs w:val="false"/>
          <w:color w:val="1A1A1A"/>
          <w:sz w:val="18"/>
          <w:szCs w:val="18"/>
        </w:rPr>
        <w:t xml:space="preserve">Tag naming standard and UNS subscription register delivered to colleague</w:t>
      </w:r>
    </w:p>
    <w:p>
      <w:pPr>
        <w:pStyle w:val="ListParagraph"/>
        <w:numPr>
          <w:ilvl w:val="0"/>
          <w:numId w:val="3"/>
        </w:numPr>
        <w:spacing w:after="60" w:before="0"/>
      </w:pPr>
      <w:r>
        <w:rPr>
          <w:rFonts w:ascii="Arial" w:cs="Arial" w:eastAsia="Arial" w:hAnsi="Arial"/>
          <w:b w:val="false"/>
          <w:bCs w:val="false"/>
          <w:i w:val="false"/>
          <w:iCs w:val="false"/>
          <w:color w:val="1A1A1A"/>
          <w:sz w:val="18"/>
          <w:szCs w:val="18"/>
        </w:rPr>
        <w:t xml:space="preserve">MaintainX integration concept delivered to colleague</w:t>
      </w:r>
    </w:p>
    <w:p>
      <w:pPr>
        <w:pStyle w:val="ListParagraph"/>
        <w:numPr>
          <w:ilvl w:val="0"/>
          <w:numId w:val="3"/>
        </w:numPr>
        <w:spacing w:after="60" w:before="0"/>
      </w:pPr>
      <w:r>
        <w:rPr>
          <w:rFonts w:ascii="Arial" w:cs="Arial" w:eastAsia="Arial" w:hAnsi="Arial"/>
          <w:b w:val="false"/>
          <w:bCs w:val="false"/>
          <w:i w:val="false"/>
          <w:iCs w:val="false"/>
          <w:color w:val="1A1A1A"/>
          <w:sz w:val="18"/>
          <w:szCs w:val="18"/>
        </w:rPr>
        <w:t xml:space="preserve">New equipment selected for independence exercise — physically present and ready for commissioning</w:t>
      </w:r>
    </w:p>
    <w:p>
      <w:pPr>
        <w:pStyle w:val="ListParagraph"/>
        <w:numPr>
          <w:ilvl w:val="0"/>
          <w:numId w:val="3"/>
        </w:numPr>
        <w:spacing w:after="60" w:before="0"/>
      </w:pPr>
      <w:r>
        <w:rPr>
          <w:rFonts w:ascii="Arial" w:cs="Arial" w:eastAsia="Arial" w:hAnsi="Arial"/>
          <w:b w:val="false"/>
          <w:bCs w:val="false"/>
          <w:i w:val="false"/>
          <w:iCs w:val="false"/>
          <w:color w:val="1A1A1A"/>
          <w:sz w:val="18"/>
          <w:szCs w:val="18"/>
        </w:rPr>
        <w:t xml:space="preserve">Colleague commissions new equipment and writes program using documentation only — no integrator assistance</w:t>
      </w:r>
    </w:p>
    <w:p>
      <w:pPr>
        <w:pStyle w:val="ListParagraph"/>
        <w:numPr>
          <w:ilvl w:val="0"/>
          <w:numId w:val="3"/>
        </w:numPr>
        <w:spacing w:after="60" w:before="0"/>
      </w:pPr>
      <w:r>
        <w:rPr>
          <w:rFonts w:ascii="Arial" w:cs="Arial" w:eastAsia="Arial" w:hAnsi="Arial"/>
          <w:b w:val="false"/>
          <w:bCs w:val="false"/>
          <w:i w:val="false"/>
          <w:iCs w:val="false"/>
          <w:color w:val="1A1A1A"/>
          <w:sz w:val="18"/>
          <w:szCs w:val="18"/>
        </w:rPr>
        <w:t xml:space="preserve">New equipment publishing to UNS confirmed — ISA-95 named Sparkplug B metrics appearing in broker</w:t>
      </w:r>
    </w:p>
    <w:p>
      <w:pPr>
        <w:pStyle w:val="ListParagraph"/>
        <w:numPr>
          <w:ilvl w:val="0"/>
          <w:numId w:val="3"/>
        </w:numPr>
        <w:spacing w:after="60" w:before="0"/>
      </w:pPr>
      <w:r>
        <w:rPr>
          <w:rFonts w:ascii="Arial" w:cs="Arial" w:eastAsia="Arial" w:hAnsi="Arial"/>
          <w:b w:val="false"/>
          <w:bCs w:val="false"/>
          <w:i w:val="false"/>
          <w:iCs w:val="false"/>
          <w:color w:val="1A1A1A"/>
          <w:sz w:val="18"/>
          <w:szCs w:val="18"/>
        </w:rPr>
        <w:t xml:space="preserve">IO-Link sensor data flowing from new device — confirmed in MQTT Explorer</w:t>
      </w:r>
    </w:p>
    <w:p>
      <w:pPr>
        <w:pStyle w:val="ListParagraph"/>
        <w:numPr>
          <w:ilvl w:val="0"/>
          <w:numId w:val="3"/>
        </w:numPr>
        <w:spacing w:after="60" w:before="0"/>
      </w:pPr>
      <w:r>
        <w:rPr>
          <w:rFonts w:ascii="Arial" w:cs="Arial" w:eastAsia="Arial" w:hAnsi="Arial"/>
          <w:b w:val="false"/>
          <w:bCs w:val="false"/>
          <w:i w:val="false"/>
          <w:iCs w:val="false"/>
          <w:color w:val="1A1A1A"/>
          <w:sz w:val="18"/>
          <w:szCs w:val="18"/>
        </w:rPr>
        <w:t xml:space="preserve">New equipment data appearing in Grafana dashboards automatically — no dashboard modifications needed</w:t>
      </w:r>
    </w:p>
    <w:p>
      <w:pPr>
        <w:pStyle w:val="ListParagraph"/>
        <w:numPr>
          <w:ilvl w:val="0"/>
          <w:numId w:val="3"/>
        </w:numPr>
        <w:spacing w:after="60" w:before="0"/>
      </w:pPr>
      <w:r>
        <w:rPr>
          <w:rFonts w:ascii="Arial" w:cs="Arial" w:eastAsia="Arial" w:hAnsi="Arial"/>
          <w:b w:val="false"/>
          <w:bCs w:val="false"/>
          <w:i w:val="false"/>
          <w:iCs w:val="false"/>
          <w:color w:val="1A1A1A"/>
          <w:sz w:val="18"/>
          <w:szCs w:val="18"/>
        </w:rPr>
        <w:t xml:space="preserve">Asset added to MaintainX by colleague independently — using documentation only</w:t>
      </w:r>
    </w:p>
    <w:p>
      <w:pPr>
        <w:pStyle w:val="ListParagraph"/>
        <w:numPr>
          <w:ilvl w:val="0"/>
          <w:numId w:val="3"/>
        </w:numPr>
        <w:spacing w:after="60" w:before="0"/>
      </w:pPr>
      <w:r>
        <w:rPr>
          <w:rFonts w:ascii="Arial" w:cs="Arial" w:eastAsia="Arial" w:hAnsi="Arial"/>
          <w:b w:val="false"/>
          <w:bCs w:val="false"/>
          <w:i w:val="false"/>
          <w:iCs w:val="false"/>
          <w:color w:val="1A1A1A"/>
          <w:sz w:val="18"/>
          <w:szCs w:val="18"/>
        </w:rPr>
        <w:t xml:space="preserve">Automated work order generated when threshold is breached — no integrator involvement</w:t>
      </w:r>
    </w:p>
    <w:p>
      <w:pPr>
        <w:pStyle w:val="ListParagraph"/>
        <w:numPr>
          <w:ilvl w:val="0"/>
          <w:numId w:val="3"/>
        </w:numPr>
        <w:spacing w:after="60" w:before="0"/>
      </w:pPr>
      <w:r>
        <w:rPr>
          <w:rFonts w:ascii="Arial" w:cs="Arial" w:eastAsia="Arial" w:hAnsi="Arial"/>
          <w:b w:val="false"/>
          <w:bCs w:val="false"/>
          <w:i w:val="false"/>
          <w:iCs w:val="false"/>
          <w:color w:val="1A1A1A"/>
          <w:sz w:val="18"/>
          <w:szCs w:val="18"/>
        </w:rPr>
        <w:t xml:space="preserve">Line supervisor visibility confirmed — colleague can see all data from the dashboard</w:t>
      </w:r>
    </w:p>
    <w:p>
      <w:pPr>
        <w:pStyle w:val="ListParagraph"/>
        <w:numPr>
          <w:ilvl w:val="0"/>
          <w:numId w:val="3"/>
        </w:numPr>
        <w:spacing w:after="60" w:before="0"/>
      </w:pPr>
      <w:r>
        <w:rPr>
          <w:rFonts w:ascii="Arial" w:cs="Arial" w:eastAsia="Arial" w:hAnsi="Arial"/>
          <w:b w:val="false"/>
          <w:bCs w:val="false"/>
          <w:i w:val="false"/>
          <w:iCs w:val="false"/>
          <w:color w:val="1A1A1A"/>
          <w:sz w:val="18"/>
          <w:szCs w:val="18"/>
        </w:rPr>
        <w:t xml:space="preserve">Independence exercise observation record complete — what succeeded, what failed, what documentation gaps identified</w:t>
      </w:r>
    </w:p>
    <w:p>
      <w:pPr>
        <w:pStyle w:val="ListParagraph"/>
        <w:numPr>
          <w:ilvl w:val="0"/>
          <w:numId w:val="3"/>
        </w:numPr>
        <w:spacing w:after="60" w:before="0"/>
      </w:pPr>
      <w:r>
        <w:rPr>
          <w:rFonts w:ascii="Arial" w:cs="Arial" w:eastAsia="Arial" w:hAnsi="Arial"/>
          <w:b w:val="false"/>
          <w:bCs w:val="false"/>
          <w:i w:val="false"/>
          <w:iCs w:val="false"/>
          <w:color w:val="1A1A1A"/>
          <w:sz w:val="18"/>
          <w:szCs w:val="18"/>
        </w:rPr>
        <w:t xml:space="preserve">All identified documentation gaps resolved — documents updated before gate passage</w:t>
      </w:r>
    </w:p>
    <w:p>
      <w:pPr>
        <w:pStyle w:val="ListParagraph"/>
        <w:numPr>
          <w:ilvl w:val="0"/>
          <w:numId w:val="3"/>
        </w:numPr>
        <w:spacing w:after="60" w:before="0"/>
      </w:pPr>
      <w:r>
        <w:rPr>
          <w:rFonts w:ascii="Arial" w:cs="Arial" w:eastAsia="Arial" w:hAnsi="Arial"/>
          <w:b w:val="false"/>
          <w:bCs w:val="false"/>
          <w:i w:val="false"/>
          <w:iCs w:val="false"/>
          <w:color w:val="1A1A1A"/>
          <w:sz w:val="18"/>
          <w:szCs w:val="18"/>
        </w:rPr>
        <w:t xml:space="preserve">All program files and configuration at final revision committed to version control</w:t>
      </w:r>
    </w:p>
    <w:p>
      <w:pPr>
        <w:pStyle w:val="ListParagraph"/>
        <w:numPr>
          <w:ilvl w:val="0"/>
          <w:numId w:val="3"/>
        </w:numPr>
        <w:spacing w:after="60" w:before="0"/>
      </w:pPr>
      <w:r>
        <w:rPr>
          <w:rFonts w:ascii="Arial" w:cs="Arial" w:eastAsia="Arial" w:hAnsi="Arial"/>
          <w:b w:val="false"/>
          <w:bCs w:val="false"/>
          <w:i w:val="false"/>
          <w:iCs w:val="false"/>
          <w:color w:val="1A1A1A"/>
          <w:sz w:val="18"/>
          <w:szCs w:val="18"/>
        </w:rPr>
        <w:t xml:space="preserve">Lessons learned document complete — what the exercise revealed about documentation sufficiency</w:t>
      </w:r>
    </w:p>
    <w:p>
      <w:pPr>
        <w:pStyle w:val="ListParagraph"/>
        <w:numPr>
          <w:ilvl w:val="0"/>
          <w:numId w:val="3"/>
        </w:numPr>
        <w:spacing w:after="60" w:before="0"/>
      </w:pPr>
      <w:r>
        <w:rPr>
          <w:rFonts w:ascii="Arial" w:cs="Arial" w:eastAsia="Arial" w:hAnsi="Arial"/>
          <w:b w:val="false"/>
          <w:bCs w:val="false"/>
          <w:i w:val="false"/>
          <w:iCs w:val="false"/>
          <w:color w:val="1A1A1A"/>
          <w:sz w:val="18"/>
          <w:szCs w:val="18"/>
        </w:rPr>
        <w:t xml:space="preserve">Project archive index complete and committed to version control repository</w:t>
      </w:r>
    </w:p>
    <w:p>
      <w:pPr>
        <w:pStyle w:val="ListParagraph"/>
        <w:numPr>
          <w:ilvl w:val="0"/>
          <w:numId w:val="3"/>
        </w:numPr>
        <w:spacing w:after="60" w:before="0"/>
      </w:pPr>
      <w:r>
        <w:rPr>
          <w:rFonts w:ascii="Arial" w:cs="Arial" w:eastAsia="Arial" w:hAnsi="Arial"/>
          <w:b w:val="false"/>
          <w:bCs w:val="false"/>
          <w:i w:val="false"/>
          <w:iCs w:val="false"/>
          <w:color w:val="1A1A1A"/>
          <w:sz w:val="18"/>
          <w:szCs w:val="18"/>
        </w:rPr>
        <w:t xml:space="preserve">Gate G7 sign-off documented in project record — project formally closed</w:t>
      </w:r>
    </w:p>
    <w:p>
      <w:pPr>
        <w:spacing w:after="0" w:before="300"/>
      </w:pPr>
      <w:r>
        <w:t xml:space="preserve"/>
      </w:r>
    </w:p>
    <w:p>
      <w:pPr>
        <w:spacing w:after="120" w:before="0" w:line="320"/>
      </w:pPr>
      <w:r>
        <w:rPr>
          <w:rFonts w:ascii="Arial" w:cs="Arial" w:eastAsia="Arial" w:hAnsi="Arial"/>
          <w:b w:val="false"/>
          <w:bCs w:val="false"/>
          <w:i/>
          <w:iCs/>
          <w:color w:val="445566"/>
          <w:sz w:val="19"/>
          <w:szCs w:val="19"/>
        </w:rPr>
        <w:t xml:space="preserve">Gate sign-off records are maintained in the project_management/ folder. Each gate sign-off documents the date of passage, confirmation that all criteria were satisfied, any conditions noted at passage, and the record of who conducted the review.</w:t>
      </w:r>
    </w:p>
    <w:sectPr>
      <w:headerReference w:type="default" r:id="rId7"/>
      <w:footerReference w:type="default" r:id="rId8"/>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ACC1" w:sz="4" w:space="4"/>
      </w:pBdr>
      <w:tabs>
        <w:tab w:val="right" w:pos="9360"/>
      </w:tabs>
      <w:spacing w:after="0" w:before="120"/>
    </w:pPr>
    <w:r>
      <w:rPr>
        <w:rFonts w:ascii="Arial" w:cs="Arial" w:eastAsia="Arial" w:hAnsi="Arial"/>
        <w:b w:val="false"/>
        <w:bCs w:val="false"/>
        <w:i w:val="false"/>
        <w:iCs w:val="false"/>
        <w:color w:val="445566"/>
        <w:sz w:val="16"/>
        <w:szCs w:val="16"/>
      </w:rPr>
      <w:t xml:space="preserve">Jeremy Field  ·  Loogootee Mfg. Training Simulation  ·  Living Document</w:t>
    </w:r>
    <w:r>
      <w:rPr>
        <w:rFonts w:ascii="Arial" w:cs="Arial" w:eastAsia="Arial" w:hAnsi="Arial"/>
      </w:rPr>
      <w:t xml:space="preserve">	</w:t>
    </w:r>
    <w:r>
      <w:rPr>
        <w:rFonts w:ascii="Arial" w:cs="Arial" w:eastAsia="Arial" w:hAnsi="Arial"/>
        <w:b w:val="false"/>
        <w:bCs w:val="false"/>
        <w:i w:val="false"/>
        <w:iCs w:val="false"/>
        <w:color w:val="445566"/>
        <w:sz w:val="16"/>
        <w:szCs w:val="16"/>
      </w:rPr>
      <w:t xml:space="preserve">Page </w:t>
    </w:r>
    <w:r>
      <w:rPr>
        <w:rFonts w:ascii="Arial" w:cs="Arial" w:eastAsia="Arial" w:hAnsi="Arial"/>
        <w:color w:val="4455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5FAB" w:sz="4" w:space="4"/>
      </w:pBdr>
      <w:tabs>
        <w:tab w:val="right" w:pos="9360"/>
      </w:tabs>
      <w:spacing w:after="120" w:before="0"/>
    </w:pPr>
    <w:r>
      <w:rPr>
        <w:rFonts w:ascii="Arial" w:cs="Arial" w:eastAsia="Arial" w:hAnsi="Arial"/>
        <w:b w:val="false"/>
        <w:bCs w:val="false"/>
        <w:i w:val="false"/>
        <w:iCs w:val="false"/>
        <w:color w:val="445566"/>
        <w:sz w:val="16"/>
        <w:szCs w:val="16"/>
      </w:rPr>
      <w:t xml:space="preserve">LOOGOOTEE MFG. — TRAINING SIMULATION</w:t>
    </w:r>
    <w:r>
      <w:rPr>
        <w:rFonts w:ascii="Arial" w:cs="Arial" w:eastAsia="Arial" w:hAnsi="Arial"/>
      </w:rPr>
      <w:t xml:space="preserve">	</w:t>
    </w:r>
    <w:r>
      <w:rPr>
        <w:rFonts w:ascii="Arial" w:cs="Arial" w:eastAsia="Arial" w:hAnsi="Arial"/>
        <w:b w:val="false"/>
        <w:bCs w:val="false"/>
        <w:i w:val="false"/>
        <w:iCs w:val="false"/>
        <w:color w:val="445566"/>
        <w:sz w:val="16"/>
        <w:szCs w:val="16"/>
      </w:rPr>
      <w:t xml:space="preserve">PROJECT STATUS &amp; OPEN REVISIONS — LIVING DOCUMENT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2026-04-22T23:11:56.965Z</dcterms:created>
  <dcterms:modified xsi:type="dcterms:W3CDTF">2026-04-22T23:11:56.965Z</dcterms:modified>
</cp:coreProperties>
</file>

<file path=docProps/custom.xml><?xml version="1.0" encoding="utf-8"?>
<Properties xmlns="http://schemas.openxmlformats.org/officeDocument/2006/custom-properties" xmlns:vt="http://schemas.openxmlformats.org/officeDocument/2006/docPropsVTypes"/>
</file>