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80"/>
              <w:bottom w:type="dxa" w:w="500"/>
              <w:right w:type="dxa" w:w="480"/>
            </w:tcMar>
          </w:tcPr>
          <w:p>
            <w:pPr>
              <w:spacing w:after="80" w:before="80"/>
            </w:pPr>
            <w:r>
              <w:rPr>
                <w:rFonts w:ascii="Arial" w:cs="Arial" w:eastAsia="Arial" w:hAnsi="Arial"/>
                <w:b w:val="false"/>
                <w:bCs w:val="false"/>
                <w:i w:val="false"/>
                <w:iCs w:val="false"/>
                <w:color w:val="00ACC1"/>
                <w:sz w:val="18"/>
                <w:szCs w:val="18"/>
              </w:rPr>
              <w:t xml:space="preserve">LOOGOOTEE MFG. — TRAINING SIMULATION</w:t>
            </w:r>
          </w:p>
          <w:p>
            <w:pPr>
              <w:spacing w:after="40" w:before="40"/>
            </w:pPr>
            <w:r>
              <w:rPr>
                <w:rFonts w:ascii="Arial" w:cs="Arial" w:eastAsia="Arial" w:hAnsi="Arial"/>
                <w:b/>
                <w:bCs/>
                <w:i w:val="false"/>
                <w:iCs w:val="false"/>
                <w:color w:val="FFFFFF"/>
                <w:sz w:val="36"/>
                <w:szCs w:val="36"/>
              </w:rPr>
              <w:t xml:space="preserve">G1  —  Gate Entry Document</w:t>
            </w:r>
          </w:p>
          <w:p>
            <w:pPr>
              <w:spacing w:after="160" w:before="0"/>
            </w:pPr>
            <w:r>
              <w:rPr>
                <w:rFonts w:ascii="Arial" w:cs="Arial" w:eastAsia="Arial" w:hAnsi="Arial"/>
                <w:b/>
                <w:bCs/>
                <w:i w:val="false"/>
                <w:iCs w:val="false"/>
                <w:color w:val="7799CC"/>
                <w:sz w:val="24"/>
                <w:szCs w:val="24"/>
              </w:rPr>
              <w:t xml:space="preserve">Controller Commissioning and UNS Integration</w:t>
            </w:r>
          </w:p>
          <w:p>
            <w:pPr>
              <w:pBdr>
                <w:bottom w:val="single" w:color="4477AA" w:sz="2" w:space="1"/>
              </w:pBdr>
              <w:spacing w:after="0" w:before="0"/>
            </w:pPr>
            <w:r>
              <w:t xml:space="preserve"/>
            </w:r>
          </w:p>
          <w:p>
            <w:pPr>
              <w:spacing w:after="40" w:before="100"/>
            </w:pPr>
            <w:r>
              <w:rPr>
                <w:rFonts w:ascii="Arial" w:cs="Arial" w:eastAsia="Arial" w:hAnsi="Arial"/>
                <w:b w:val="false"/>
                <w:bCs w:val="false"/>
                <w:i/>
                <w:iCs/>
                <w:color w:val="445566"/>
                <w:sz w:val="17"/>
                <w:szCs w:val="17"/>
              </w:rPr>
              <w:t xml:space="preserve">Status:  </w:t>
            </w:r>
            <w:r>
              <w:rPr>
                <w:rFonts w:ascii="Arial" w:cs="Arial" w:eastAsia="Arial" w:hAnsi="Arial"/>
                <w:b/>
                <w:bCs/>
                <w:i w:val="false"/>
                <w:iCs w:val="false"/>
                <w:color w:val="E65100"/>
                <w:sz w:val="17"/>
                <w:szCs w:val="17"/>
              </w:rPr>
              <w:t xml:space="preserve">IN PROGRESS</w:t>
            </w:r>
            <w:r>
              <w:rPr>
                <w:rFonts w:ascii="Arial" w:cs="Arial" w:eastAsia="Arial" w:hAnsi="Arial"/>
                <w:b w:val="false"/>
                <w:bCs w:val="false"/>
                <w:i/>
                <w:iCs/>
                <w:color w:val="445566"/>
                <w:sz w:val="17"/>
                <w:szCs w:val="17"/>
              </w:rPr>
              <w:t xml:space="preserve">     |     Reference:  </w:t>
            </w:r>
            <w:r>
              <w:rPr>
                <w:rFonts w:ascii="Arial" w:cs="Arial" w:eastAsia="Arial" w:hAnsi="Arial"/>
                <w:b w:val="false"/>
                <w:bCs w:val="false"/>
                <w:i w:val="false"/>
                <w:iCs w:val="false"/>
                <w:color w:val="00ACC1"/>
                <w:sz w:val="17"/>
                <w:szCs w:val="17"/>
              </w:rPr>
              <w:t xml:space="preserve">Rack Phased Development Plan Rev 1.2</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Phase Overview</w:t>
      </w:r>
    </w:p>
    <w:p>
      <w:pPr>
        <w:spacing w:after="0" w:before="80"/>
      </w:pPr>
      <w:r>
        <w:t xml:space="preserve"/>
      </w:r>
    </w:p>
    <w:p>
      <w:pPr>
        <w:spacing w:after="120" w:before="0" w:line="320"/>
      </w:pPr>
      <w:r>
        <w:rPr>
          <w:rFonts w:ascii="Arial" w:cs="Arial" w:eastAsia="Arial" w:hAnsi="Arial"/>
          <w:b w:val="false"/>
          <w:bCs w:val="false"/>
          <w:i w:val="false"/>
          <w:iCs w:val="false"/>
          <w:color w:val="1A1A1A"/>
          <w:sz w:val="19"/>
          <w:szCs w:val="19"/>
        </w:rPr>
        <w:t xml:space="preserve">Gate G1 confirms that all 11 controllers are commissioned, all simulation programs are running, and all data is verified publishing correctly to the Unified Namespace. The OT data layer must be complete and verified before the IIoT stack is built on top of it. No Phase 2 infrastructure work begins until this gate is passed.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Full phase detail — purpose, key activities, demonstration value, and implementation notes — is documented in the Rack Phased Development Plan Rev 1.2, located in 06_rack_documentation/rack_phased_development_plan/.</w:t>
      </w:r>
    </w:p>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Entry Criteria</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All criteria must be satisfied and documented before this gate is passed and the next phase is authorized to begin. Check each item at time of gate review.</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7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Criteria</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11 controllers physically mounted and powered in 42U rack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Rack power infrastructure complete — both dedicated 20A circuits landed and 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11 controllers commissioned — programs downloaded and running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Simulated production routines running on all platforms — fault cycling, cycle times, part counts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5</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controllers publishing ISA-95 named Sparkplug B metrics to Mosquitto broker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Sparkplug B payload verified end to end — MQTT Explorer confirmation on all devices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Tag naming validated against ISA-95 standard — Tier 1 and Tier 2 confirmed on all platforms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13 protocol paths verified active — DF1, DH-485, Modbus RTU, EtherNet/IP, PROFINET, PROFIBUS, EtherCAT, OPC-UA, S7 PUT/GET, CIP Safety, MQTT, Sparkplug B, IO-Link broker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9</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Pre-commissioning program backup complete — all 11 controllers at commissioned state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program files committed to version control at Gate G1 revision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MicroLogix 1000 program spec updated to final revision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Gate G1 sign-off documented in this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Sign-Off Record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Complete this section when all gate criteria have been satisfied. Gate sign-off authorizes commencement of the next phase.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Phase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Controller Commissioning and UNS Integration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Date Passed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Signed Off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All Criteria Satisfied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Yes     ☐  No — conditions noted below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Conditions / Notes</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Authorization to Proceed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Authorized     ☐  Conditional     ☐  Not Authorized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Gate Entry Document</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spacing w:after="120" w:before="0"/>
    </w:pPr>
    <w:r>
      <w:rPr>
        <w:rFonts w:ascii="Arial" w:cs="Arial" w:eastAsia="Arial" w:hAnsi="Arial"/>
        <w:b w:val="false"/>
        <w:bCs w:val="false"/>
        <w:i w:val="false"/>
        <w:iCs w:val="false"/>
        <w:color w:val="445566"/>
        <w:sz w:val="16"/>
        <w:szCs w:val="16"/>
      </w:rPr>
      <w:t xml:space="preserve">LOOGOOTEE MFG.  ·  G1 — Controller Commissioning and UNS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2026-04-22T22:46:49.858Z</dcterms:created>
  <dcterms:modified xsi:type="dcterms:W3CDTF">2026-04-22T22:46:49.858Z</dcterms:modified>
</cp:coreProperties>
</file>

<file path=docProps/custom.xml><?xml version="1.0" encoding="utf-8"?>
<Properties xmlns="http://schemas.openxmlformats.org/officeDocument/2006/custom-properties" xmlns:vt="http://schemas.openxmlformats.org/officeDocument/2006/docPropsVTypes"/>
</file>