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80"/>
              <w:bottom w:type="dxa" w:w="500"/>
              <w:right w:type="dxa" w:w="480"/>
            </w:tcMar>
          </w:tcPr>
          <w:p>
            <w:pPr>
              <w:spacing w:after="80" w:before="80"/>
            </w:pPr>
            <w:r>
              <w:rPr>
                <w:rFonts w:ascii="Arial" w:cs="Arial" w:eastAsia="Arial" w:hAnsi="Arial"/>
                <w:b w:val="false"/>
                <w:bCs w:val="false"/>
                <w:i w:val="false"/>
                <w:iCs w:val="false"/>
                <w:color w:val="00ACC1"/>
                <w:sz w:val="18"/>
                <w:szCs w:val="18"/>
              </w:rPr>
              <w:t xml:space="preserve">LOOGOOTEE MFG. — TRAINING SIMULATION</w:t>
            </w:r>
          </w:p>
          <w:p>
            <w:pPr>
              <w:spacing w:after="40" w:before="40"/>
            </w:pPr>
            <w:r>
              <w:rPr>
                <w:rFonts w:ascii="Arial" w:cs="Arial" w:eastAsia="Arial" w:hAnsi="Arial"/>
                <w:b/>
                <w:bCs/>
                <w:i w:val="false"/>
                <w:iCs w:val="false"/>
                <w:color w:val="FFFFFF"/>
                <w:sz w:val="36"/>
                <w:szCs w:val="36"/>
              </w:rPr>
              <w:t xml:space="preserve">G2  —  Gate Entry Document</w:t>
            </w:r>
          </w:p>
          <w:p>
            <w:pPr>
              <w:spacing w:after="160" w:before="0"/>
            </w:pPr>
            <w:r>
              <w:rPr>
                <w:rFonts w:ascii="Arial" w:cs="Arial" w:eastAsia="Arial" w:hAnsi="Arial"/>
                <w:b/>
                <w:bCs/>
                <w:i w:val="false"/>
                <w:iCs w:val="false"/>
                <w:color w:val="7799CC"/>
                <w:sz w:val="24"/>
                <w:szCs w:val="24"/>
              </w:rPr>
              <w:t xml:space="preserve">IIoT Stack Deployment and Network Security</w:t>
            </w:r>
          </w:p>
          <w:p>
            <w:pPr>
              <w:pBdr>
                <w:bottom w:val="single" w:color="4477AA" w:sz="2" w:space="1"/>
              </w:pBdr>
              <w:spacing w:after="0" w:before="0"/>
            </w:pPr>
            <w:r>
              <w:t xml:space="preserve"/>
            </w:r>
          </w:p>
          <w:p>
            <w:pPr>
              <w:spacing w:after="40" w:before="100"/>
            </w:pPr>
            <w:r>
              <w:rPr>
                <w:rFonts w:ascii="Arial" w:cs="Arial" w:eastAsia="Arial" w:hAnsi="Arial"/>
                <w:b w:val="false"/>
                <w:bCs w:val="false"/>
                <w:i/>
                <w:iCs/>
                <w:color w:val="445566"/>
                <w:sz w:val="17"/>
                <w:szCs w:val="17"/>
              </w:rPr>
              <w:t xml:space="preserve">Status:  </w:t>
            </w:r>
            <w:r>
              <w:rPr>
                <w:rFonts w:ascii="Arial" w:cs="Arial" w:eastAsia="Arial" w:hAnsi="Arial"/>
                <w:b/>
                <w:bCs/>
                <w:i w:val="false"/>
                <w:iCs w:val="false"/>
                <w:color w:val="2E5FAB"/>
                <w:sz w:val="17"/>
                <w:szCs w:val="17"/>
              </w:rPr>
              <w:t xml:space="preserve">PLANNED</w:t>
            </w:r>
            <w:r>
              <w:rPr>
                <w:rFonts w:ascii="Arial" w:cs="Arial" w:eastAsia="Arial" w:hAnsi="Arial"/>
                <w:b w:val="false"/>
                <w:bCs w:val="false"/>
                <w:i/>
                <w:iCs/>
                <w:color w:val="445566"/>
                <w:sz w:val="17"/>
                <w:szCs w:val="17"/>
              </w:rPr>
              <w:t xml:space="preserve">     |     Reference:  </w:t>
            </w:r>
            <w:r>
              <w:rPr>
                <w:rFonts w:ascii="Arial" w:cs="Arial" w:eastAsia="Arial" w:hAnsi="Arial"/>
                <w:b w:val="false"/>
                <w:bCs w:val="false"/>
                <w:i w:val="false"/>
                <w:iCs w:val="false"/>
                <w:color w:val="00ACC1"/>
                <w:sz w:val="17"/>
                <w:szCs w:val="17"/>
              </w:rPr>
              <w:t xml:space="preserve">Rack Phased Development Plan Rev 1.2</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Phase Overview</w:t>
      </w:r>
    </w:p>
    <w:p>
      <w:pPr>
        <w:spacing w:after="0" w:before="80"/>
      </w:pPr>
      <w:r>
        <w:t xml:space="preserve"/>
      </w:r>
    </w:p>
    <w:p>
      <w:pPr>
        <w:spacing w:after="120" w:before="0" w:line="320"/>
      </w:pPr>
      <w:r>
        <w:rPr>
          <w:rFonts w:ascii="Arial" w:cs="Arial" w:eastAsia="Arial" w:hAnsi="Arial"/>
          <w:b w:val="false"/>
          <w:bCs w:val="false"/>
          <w:i w:val="false"/>
          <w:iCs w:val="false"/>
          <w:color w:val="1A1A1A"/>
          <w:sz w:val="19"/>
          <w:szCs w:val="19"/>
        </w:rPr>
        <w:t xml:space="preserve">Gate G2 confirms that the AOOSTAR NAS is commissioned, the full IIoT stack is deployed in Proxmox LXC containers, Tailscale remote access is configured, and the network security architecture is implemented and verified. Security verification is a non-negotiable gate criterion — the stack is not considered commissioned until the security posture is confirmed.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Full phase detail — purpose, key activities, demonstration value, and implementation notes — is documented in the Rack Phased Development Plan Rev 1.2, located in 06_rack_documentation/rack_phased_development_plan/.</w:t>
      </w:r>
    </w:p>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Entry Criteria</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All criteria must be satisfied and documented before this gate is passed and the next phase is authorized to begin. Check each item at time of gate review.</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Criteria</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AOOSTAR NAS commissioned — Proxmox VE installed and operational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IIoT stack LXC containers deployed and running — Mosquitto, Node-RED, Ignition, Telegraf, InfluxDB, Grafana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confirmed as sole calculation engine — OEE calculating from live PLC data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Telegraf confirmed capturing all broker topics to InfluxDB — all metrics present and 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5</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Tailscale mesh network configured — no port forwarding, no public IP exposure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Network security zones confirmed — OT isolated, IIoT segment defined, no direct OT to IT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MQTT broker authentication and ACL enforcement verified — anonymous connections rejected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TLS encryption confirmed on all MQTT connections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Remote access verified — live rack data accessible via Tailscale from outside home network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NAS and stack configuration files committed to version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G2 sign-off documented in this record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Sign-Off Record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Complete this section when all gate criteria have been satisfied. Gate sign-off authorizes commencement of the next phase.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Phase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Stack Deployment and Network Security</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Date Passed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Signed Off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All Criteria Satisfied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Yes     ☐  No — conditions noted below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Conditions / Notes</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Authorization to Proceed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Authorized     ☐  Conditional     ☐  Not Authorized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Gate Entry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spacing w:after="120" w:before="0"/>
    </w:pPr>
    <w:r>
      <w:rPr>
        <w:rFonts w:ascii="Arial" w:cs="Arial" w:eastAsia="Arial" w:hAnsi="Arial"/>
        <w:b w:val="false"/>
        <w:bCs w:val="false"/>
        <w:i w:val="false"/>
        <w:iCs w:val="false"/>
        <w:color w:val="445566"/>
        <w:sz w:val="16"/>
        <w:szCs w:val="16"/>
      </w:rPr>
      <w:t xml:space="preserve">LOOGOOTEE MFG.  ·  G2 — IIoT Stack Deployment and Network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2026-04-22T22:46:49.904Z</dcterms:created>
  <dcterms:modified xsi:type="dcterms:W3CDTF">2026-04-22T22:46:49.904Z</dcterms:modified>
</cp:coreProperties>
</file>

<file path=docProps/custom.xml><?xml version="1.0" encoding="utf-8"?>
<Properties xmlns="http://schemas.openxmlformats.org/officeDocument/2006/custom-properties" xmlns:vt="http://schemas.openxmlformats.org/officeDocument/2006/docPropsVTypes"/>
</file>