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500"/>
              <w:left w:type="dxa" w:w="480"/>
              <w:bottom w:type="dxa" w:w="500"/>
              <w:right w:type="dxa" w:w="480"/>
            </w:tcMar>
          </w:tcPr>
          <w:p>
            <w:pPr>
              <w:spacing w:after="80" w:before="80"/>
            </w:pPr>
            <w:r>
              <w:rPr>
                <w:rFonts w:ascii="Arial" w:cs="Arial" w:eastAsia="Arial" w:hAnsi="Arial"/>
                <w:b w:val="false"/>
                <w:bCs w:val="false"/>
                <w:i w:val="false"/>
                <w:iCs w:val="false"/>
                <w:color w:val="00ACC1"/>
                <w:sz w:val="18"/>
                <w:szCs w:val="18"/>
              </w:rPr>
              <w:t xml:space="preserve">LOOGOOTEE MFG. — TRAINING SIMULATION</w:t>
            </w:r>
          </w:p>
          <w:p>
            <w:pPr>
              <w:spacing w:after="40" w:before="40"/>
            </w:pPr>
            <w:r>
              <w:rPr>
                <w:rFonts w:ascii="Arial" w:cs="Arial" w:eastAsia="Arial" w:hAnsi="Arial"/>
                <w:b/>
                <w:bCs/>
                <w:i w:val="false"/>
                <w:iCs w:val="false"/>
                <w:color w:val="FFFFFF"/>
                <w:sz w:val="36"/>
                <w:szCs w:val="36"/>
              </w:rPr>
              <w:t xml:space="preserve">G4  —  Gate Entry Document</w:t>
            </w:r>
          </w:p>
          <w:p>
            <w:pPr>
              <w:spacing w:after="160" w:before="0"/>
            </w:pPr>
            <w:r>
              <w:rPr>
                <w:rFonts w:ascii="Arial" w:cs="Arial" w:eastAsia="Arial" w:hAnsi="Arial"/>
                <w:b/>
                <w:bCs/>
                <w:i w:val="false"/>
                <w:iCs w:val="false"/>
                <w:color w:val="7799CC"/>
                <w:sz w:val="24"/>
                <w:szCs w:val="24"/>
              </w:rPr>
              <w:t xml:space="preserve">Physical System Expansion and UNS Extensibility</w:t>
            </w:r>
          </w:p>
          <w:p>
            <w:pPr>
              <w:pBdr>
                <w:bottom w:val="single" w:color="4477AA" w:sz="2" w:space="1"/>
              </w:pBdr>
              <w:spacing w:after="0" w:before="0"/>
            </w:pPr>
            <w:r>
              <w:t xml:space="preserve"/>
            </w:r>
          </w:p>
          <w:p>
            <w:pPr>
              <w:spacing w:after="40" w:before="100"/>
            </w:pPr>
            <w:r>
              <w:rPr>
                <w:rFonts w:ascii="Arial" w:cs="Arial" w:eastAsia="Arial" w:hAnsi="Arial"/>
                <w:b w:val="false"/>
                <w:bCs w:val="false"/>
                <w:i/>
                <w:iCs/>
                <w:color w:val="445566"/>
                <w:sz w:val="17"/>
                <w:szCs w:val="17"/>
              </w:rPr>
              <w:t xml:space="preserve">Status:  </w:t>
            </w:r>
            <w:r>
              <w:rPr>
                <w:rFonts w:ascii="Arial" w:cs="Arial" w:eastAsia="Arial" w:hAnsi="Arial"/>
                <w:b/>
                <w:bCs/>
                <w:i w:val="false"/>
                <w:iCs w:val="false"/>
                <w:color w:val="2E5FAB"/>
                <w:sz w:val="17"/>
                <w:szCs w:val="17"/>
              </w:rPr>
              <w:t xml:space="preserve">PLANNED</w:t>
            </w:r>
            <w:r>
              <w:rPr>
                <w:rFonts w:ascii="Arial" w:cs="Arial" w:eastAsia="Arial" w:hAnsi="Arial"/>
                <w:b w:val="false"/>
                <w:bCs w:val="false"/>
                <w:i/>
                <w:iCs/>
                <w:color w:val="445566"/>
                <w:sz w:val="17"/>
                <w:szCs w:val="17"/>
              </w:rPr>
              <w:t xml:space="preserve">     |     Reference:  </w:t>
            </w:r>
            <w:r>
              <w:rPr>
                <w:rFonts w:ascii="Arial" w:cs="Arial" w:eastAsia="Arial" w:hAnsi="Arial"/>
                <w:b w:val="false"/>
                <w:bCs w:val="false"/>
                <w:i w:val="false"/>
                <w:iCs w:val="false"/>
                <w:color w:val="00ACC1"/>
                <w:sz w:val="17"/>
                <w:szCs w:val="17"/>
              </w:rPr>
              <w:t xml:space="preserve">Rack Phased Development Plan Rev 1.2</w:t>
            </w:r>
          </w:p>
        </w:tc>
      </w:tr>
    </w:tbl>
    <w:p>
      <w:pPr>
        <w:spacing w:after="0" w:before="3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Phase Overview</w:t>
      </w:r>
    </w:p>
    <w:p>
      <w:pPr>
        <w:spacing w:after="0" w:before="80"/>
      </w:pPr>
      <w:r>
        <w:t xml:space="preserve"/>
      </w:r>
    </w:p>
    <w:p>
      <w:pPr>
        <w:spacing w:after="120" w:before="0" w:line="320"/>
      </w:pPr>
      <w:r>
        <w:rPr>
          <w:rFonts w:ascii="Arial" w:cs="Arial" w:eastAsia="Arial" w:hAnsi="Arial"/>
          <w:b w:val="false"/>
          <w:bCs w:val="false"/>
          <w:i w:val="false"/>
          <w:iCs w:val="false"/>
          <w:color w:val="1A1A1A"/>
          <w:sz w:val="19"/>
          <w:szCs w:val="19"/>
        </w:rPr>
        <w:t xml:space="preserve">Gate G4 confirms that the operator panel rack has been built, commissioned, and successfully integrated into the fully operational system without modifying any existing data architecture. The key gate criterion is UNS extensibility — new equipment must appear in existing dashboards and the historian without any reconfiguration of what was already running.</w:t>
      </w:r>
    </w:p>
    <w:p>
      <w:pPr>
        <w:spacing w:after="0" w:before="80"/>
      </w:pPr>
      <w:r>
        <w:t xml:space="preserve"/>
      </w:r>
    </w:p>
    <w:p>
      <w:pPr>
        <w:spacing w:after="120" w:before="0" w:line="320"/>
      </w:pPr>
      <w:r>
        <w:rPr>
          <w:rFonts w:ascii="Arial" w:cs="Arial" w:eastAsia="Arial" w:hAnsi="Arial"/>
          <w:b w:val="false"/>
          <w:bCs w:val="false"/>
          <w:i/>
          <w:iCs/>
          <w:color w:val="445566"/>
          <w:sz w:val="19"/>
          <w:szCs w:val="19"/>
        </w:rPr>
        <w:t xml:space="preserve">Full phase detail — purpose, key activities, demonstration value, and implementation notes — is documented in the Rack Phased Development Plan Rev 1.2, located in 06_rack_documentation/rack_phased_development_plan/.</w:t>
      </w:r>
    </w:p>
    <w:p>
      <w:pPr>
        <w:spacing w:after="0" w:before="3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Gate Entry Criteria</w:t>
      </w:r>
    </w:p>
    <w:p>
      <w:pPr>
        <w:spacing w:after="0" w:before="80"/>
      </w:pPr>
      <w:r>
        <w:t xml:space="preserve"/>
      </w:r>
    </w:p>
    <w:p>
      <w:pPr>
        <w:spacing w:after="120" w:before="0" w:line="320"/>
      </w:pPr>
      <w:r>
        <w:rPr>
          <w:rFonts w:ascii="Arial" w:cs="Arial" w:eastAsia="Arial" w:hAnsi="Arial"/>
          <w:b w:val="false"/>
          <w:bCs w:val="false"/>
          <w:i/>
          <w:iCs/>
          <w:color w:val="445566"/>
          <w:sz w:val="19"/>
          <w:szCs w:val="19"/>
        </w:rPr>
        <w:t xml:space="preserve">All criteria must be satisfied and documented before this gate is passed and the next phase is authorized to begin. Check each item at time of gate review.</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7560"/>
        <w:gridCol w:w="1200"/>
      </w:tblGrid>
      <w:tr>
        <w:tc>
          <w:tcPr>
            <w:tcW w:type="dxa" w:w="6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w:t>
            </w:r>
          </w:p>
        </w:tc>
        <w:tc>
          <w:tcPr>
            <w:tcW w:type="dxa" w:w="75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Criteria</w:t>
            </w:r>
          </w:p>
        </w:tc>
        <w:tc>
          <w:tcPr>
            <w:tcW w:type="dxa" w:w="12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1</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Operator panel rack sourced and assembled — 20U or 24U Riveco matching frame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groov EPIC-PR1 relocated and operational in operator panel rack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3</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PanelView 800 operational in operator panel rack</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Physical operator I/O operational — pushbuttons, pilot lights, E-stop all functional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5</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PowerFlex 525 installed and operational — pump motor running at variable speed via EtherNet/IP</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groov View HMI operational on operator panel rack display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7</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Operator panel rack connected to rack network via Cisco switch</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8</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Operator panel rack publishing new metrics to UNS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9</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New equipment data appearing in existing Grafana dashboards without any dashboard reconfiguration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10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New equipment data appearing in InfluxDB historian without any historian reconfiguration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11</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No existing architecture modified to accommodate new rack — zero changes to 42U rack configuration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12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UNS extensibility formally documented — observation record of what appeared automatically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13</w:t>
            </w:r>
          </w:p>
        </w:tc>
        <w:tc>
          <w:tcPr>
            <w:tcW w:type="dxa" w:w="7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EPIC configuration committed to version control</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bCs/>
                <w:i w:val="false"/>
                <w:iCs w:val="false"/>
                <w:color w:val="2E5FAB"/>
                <w:sz w:val="17"/>
                <w:szCs w:val="17"/>
              </w:rPr>
              <w:t xml:space="preserve">14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Gate G4 sign-off documented in this record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jc w:val="center"/>
            </w:pPr>
            <w:r>
              <w:rPr>
                <w:rFonts w:ascii="Arial" w:cs="Arial" w:eastAsia="Arial" w:hAnsi="Arial"/>
                <w:b w:val="false"/>
                <w:bCs w:val="false"/>
                <w:i w:val="false"/>
                <w:iCs w:val="false"/>
                <w:color w:val="445566"/>
                <w:sz w:val="20"/>
                <w:szCs w:val="20"/>
              </w:rPr>
              <w:t xml:space="preserve">☐</w:t>
            </w:r>
          </w:p>
        </w:tc>
      </w:tr>
    </w:tbl>
    <w:p>
      <w:pPr>
        <w:spacing w:after="0" w:before="3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Gate Sign-Off Record</w:t>
      </w:r>
    </w:p>
    <w:p>
      <w:pPr>
        <w:spacing w:after="0" w:before="80"/>
      </w:pPr>
      <w:r>
        <w:t xml:space="preserve"/>
      </w:r>
    </w:p>
    <w:p>
      <w:pPr>
        <w:spacing w:after="120" w:before="0" w:line="320"/>
      </w:pPr>
      <w:r>
        <w:rPr>
          <w:rFonts w:ascii="Arial" w:cs="Arial" w:eastAsia="Arial" w:hAnsi="Arial"/>
          <w:b w:val="false"/>
          <w:bCs w:val="false"/>
          <w:i/>
          <w:iCs/>
          <w:color w:val="445566"/>
          <w:sz w:val="19"/>
          <w:szCs w:val="19"/>
        </w:rPr>
        <w:t xml:space="preserve">Complete this section when all gate criteria have been satisfied. Gate sign-off authorizes commencement of the next phase.</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Gate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G4</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Phase 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Physical System Expansion and UNS Extensibility</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Date Passed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FFFFFF"/>
                <w:sz w:val="17"/>
                <w:szCs w:val="17"/>
              </w:rPr>
              <w:t xml:space="preserve"/>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Signed Off By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FFFFFF"/>
                <w:sz w:val="17"/>
                <w:szCs w:val="17"/>
              </w:rPr>
              <w:t xml:space="preserve"/>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All Criteria Satisfied</w:t>
            </w:r>
          </w:p>
        </w:tc>
        <w:tc>
          <w:tcPr>
            <w:tcW w:type="dxa" w:w="6760"/>
            <w:tcBorders>
              <w:top w:val="single" w:color="CCCCCC" w:sz="1"/>
              <w:left w:val="single" w:color="CCCCCC" w:sz="1"/>
              <w:bottom w:val="single" w:color="CCCCCC" w:sz="1"/>
              <w:right w:val="single" w:color="CCCCCC" w:sz="1"/>
            </w:tcBorders>
            <w:shd w:fill="FFFFFF" w:val="clear"/>
            <w:tcMar>
              <w:top w:type="dxa" w:w="160"/>
              <w:left w:type="dxa" w:w="140"/>
              <w:bottom w:type="dxa" w:w="160"/>
              <w:right w:type="dxa" w:w="100"/>
            </w:tcMar>
          </w:tcPr>
          <w:p>
            <w:r>
              <w:rPr>
                <w:rFonts w:ascii="Arial" w:cs="Arial" w:eastAsia="Arial" w:hAnsi="Arial"/>
                <w:b w:val="false"/>
                <w:bCs w:val="false"/>
                <w:i w:val="false"/>
                <w:iCs w:val="false"/>
                <w:color w:val="1A1A1A"/>
                <w:sz w:val="17"/>
                <w:szCs w:val="17"/>
              </w:rPr>
              <w:t xml:space="preserve">☐  Yes     ☐  No — conditions noted below</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Conditions / Notes</w:t>
            </w:r>
          </w:p>
        </w:tc>
        <w:tc>
          <w:tcPr>
            <w:tcW w:type="dxa" w:w="6760"/>
            <w:tcBorders>
              <w:top w:val="single" w:color="CCCCCC" w:sz="1"/>
              <w:left w:val="single" w:color="CCCCCC" w:sz="1"/>
              <w:bottom w:val="single" w:color="CCCCCC" w:sz="1"/>
              <w:right w:val="single" w:color="CCCCCC" w:sz="1"/>
            </w:tcBorders>
            <w:shd w:fill="FFFFFF" w:val="clear"/>
            <w:tcMar>
              <w:top w:type="dxa" w:w="160"/>
              <w:left w:type="dxa" w:w="140"/>
              <w:bottom w:type="dxa" w:w="160"/>
              <w:right w:type="dxa" w:w="100"/>
            </w:tcMar>
          </w:tcPr>
          <w:p>
            <w:r>
              <w:rPr>
                <w:rFonts w:ascii="Arial" w:cs="Arial" w:eastAsia="Arial" w:hAnsi="Arial"/>
                <w:b w:val="false"/>
                <w:bCs w:val="false"/>
                <w:i w:val="false"/>
                <w:iCs w:val="false"/>
                <w:color w:val="FFFFFF"/>
                <w:sz w:val="17"/>
                <w:szCs w:val="17"/>
              </w:rPr>
              <w:t xml:space="preserve"/>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Authorization to Proceed</w:t>
            </w:r>
          </w:p>
        </w:tc>
        <w:tc>
          <w:tcPr>
            <w:tcW w:type="dxa" w:w="6760"/>
            <w:tcBorders>
              <w:top w:val="single" w:color="CCCCCC" w:sz="1"/>
              <w:left w:val="single" w:color="CCCCCC" w:sz="1"/>
              <w:bottom w:val="single" w:color="CCCCCC" w:sz="1"/>
              <w:right w:val="single" w:color="CCCCCC" w:sz="1"/>
            </w:tcBorders>
            <w:shd w:fill="FFFFFF" w:val="clear"/>
            <w:tcMar>
              <w:top w:type="dxa" w:w="160"/>
              <w:left w:type="dxa" w:w="140"/>
              <w:bottom w:type="dxa" w:w="160"/>
              <w:right w:type="dxa" w:w="100"/>
            </w:tcMar>
          </w:tcPr>
          <w:p>
            <w:r>
              <w:rPr>
                <w:rFonts w:ascii="Arial" w:cs="Arial" w:eastAsia="Arial" w:hAnsi="Arial"/>
                <w:b w:val="false"/>
                <w:bCs w:val="false"/>
                <w:i w:val="false"/>
                <w:iCs w:val="false"/>
                <w:color w:val="1A1A1A"/>
                <w:sz w:val="17"/>
                <w:szCs w:val="17"/>
              </w:rPr>
              <w:t xml:space="preserve">☐  Authorized     ☐  Conditional     ☐  Not Authorized</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CC1" w:sz="4" w:space="4"/>
      </w:pBdr>
      <w:tabs>
        <w:tab w:val="right" w:pos="9360"/>
      </w:tabs>
      <w:spacing w:after="0" w:before="120"/>
    </w:pPr>
    <w:r>
      <w:rPr>
        <w:rFonts w:ascii="Arial" w:cs="Arial" w:eastAsia="Arial" w:hAnsi="Arial"/>
        <w:b w:val="false"/>
        <w:bCs w:val="false"/>
        <w:i w:val="false"/>
        <w:iCs w:val="false"/>
        <w:color w:val="445566"/>
        <w:sz w:val="16"/>
        <w:szCs w:val="16"/>
      </w:rPr>
      <w:t xml:space="preserve">Loogootee Mfg. Training Simulation  ·  Gate Entry Document</w:t>
    </w:r>
    <w:r>
      <w:rPr>
        <w:rFonts w:ascii="Arial" w:cs="Arial" w:eastAsia="Arial" w:hAnsi="Arial"/>
      </w:rPr>
      <w:t xml:space="preserve">	</w:t>
    </w:r>
    <w:r>
      <w:rPr>
        <w:rFonts w:ascii="Arial" w:cs="Arial" w:eastAsia="Arial" w:hAnsi="Arial"/>
        <w:b w:val="false"/>
        <w:bCs w:val="false"/>
        <w:i w:val="false"/>
        <w:iCs w:val="false"/>
        <w:color w:val="445566"/>
        <w:sz w:val="16"/>
        <w:szCs w:val="16"/>
      </w:rPr>
      <w:t xml:space="preserve">Page </w:t>
    </w:r>
    <w:r>
      <w:rPr>
        <w:rFonts w:ascii="Arial" w:cs="Arial" w:eastAsia="Arial" w:hAnsi="Arial"/>
        <w:color w:val="4455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B" w:sz="4" w:space="4"/>
      </w:pBdr>
      <w:spacing w:after="120" w:before="0"/>
    </w:pPr>
    <w:r>
      <w:rPr>
        <w:rFonts w:ascii="Arial" w:cs="Arial" w:eastAsia="Arial" w:hAnsi="Arial"/>
        <w:b w:val="false"/>
        <w:bCs w:val="false"/>
        <w:i w:val="false"/>
        <w:iCs w:val="false"/>
        <w:color w:val="445566"/>
        <w:sz w:val="16"/>
        <w:szCs w:val="16"/>
      </w:rPr>
      <w:t xml:space="preserve">LOOGOOTEE MFG.  ·  G4 — Physical System Expansion and UNS Extensibility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2026-04-22T22:46:50.017Z</dcterms:created>
  <dcterms:modified xsi:type="dcterms:W3CDTF">2026-04-22T22:46:50.017Z</dcterms:modified>
</cp:coreProperties>
</file>

<file path=docProps/custom.xml><?xml version="1.0" encoding="utf-8"?>
<Properties xmlns="http://schemas.openxmlformats.org/officeDocument/2006/custom-properties" xmlns:vt="http://schemas.openxmlformats.org/officeDocument/2006/docPropsVTypes"/>
</file>