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500"/>
              <w:left w:type="dxa" w:w="480"/>
              <w:bottom w:type="dxa" w:w="500"/>
              <w:right w:type="dxa" w:w="480"/>
            </w:tcMar>
          </w:tcPr>
          <w:p>
            <w:pPr>
              <w:spacing w:after="80" w:before="80"/>
            </w:pPr>
            <w:r>
              <w:rPr>
                <w:rFonts w:ascii="Arial" w:cs="Arial" w:eastAsia="Arial" w:hAnsi="Arial"/>
                <w:b w:val="false"/>
                <w:bCs w:val="false"/>
                <w:i w:val="false"/>
                <w:iCs w:val="false"/>
                <w:color w:val="00ACC1"/>
                <w:sz w:val="18"/>
                <w:szCs w:val="18"/>
              </w:rPr>
              <w:t xml:space="preserve">LOOGOOTEE MFG. — TRAINING SIMULATION</w:t>
            </w:r>
          </w:p>
          <w:p>
            <w:pPr>
              <w:spacing w:after="40" w:before="40"/>
            </w:pPr>
            <w:r>
              <w:rPr>
                <w:rFonts w:ascii="Arial" w:cs="Arial" w:eastAsia="Arial" w:hAnsi="Arial"/>
                <w:b/>
                <w:bCs/>
                <w:i w:val="false"/>
                <w:iCs w:val="false"/>
                <w:color w:val="FFFFFF"/>
                <w:sz w:val="36"/>
                <w:szCs w:val="36"/>
              </w:rPr>
              <w:t xml:space="preserve">G6  —  Gate Entry Document</w:t>
            </w:r>
          </w:p>
          <w:p>
            <w:pPr>
              <w:spacing w:after="160" w:before="0"/>
            </w:pPr>
            <w:r>
              <w:rPr>
                <w:rFonts w:ascii="Arial" w:cs="Arial" w:eastAsia="Arial" w:hAnsi="Arial"/>
                <w:b/>
                <w:bCs/>
                <w:i w:val="false"/>
                <w:iCs w:val="false"/>
                <w:color w:val="7799CC"/>
                <w:sz w:val="24"/>
                <w:szCs w:val="24"/>
              </w:rPr>
              <w:t xml:space="preserve">Predictive Maintenance and Remote Demonstration</w:t>
            </w:r>
          </w:p>
          <w:p>
            <w:pPr>
              <w:pBdr>
                <w:bottom w:val="single" w:color="4477AA" w:sz="2" w:space="1"/>
              </w:pBdr>
              <w:spacing w:after="0" w:before="0"/>
            </w:pPr>
            <w:r>
              <w:t xml:space="preserve"/>
            </w:r>
          </w:p>
          <w:p>
            <w:pPr>
              <w:spacing w:after="40" w:before="100"/>
            </w:pPr>
            <w:r>
              <w:rPr>
                <w:rFonts w:ascii="Arial" w:cs="Arial" w:eastAsia="Arial" w:hAnsi="Arial"/>
                <w:b w:val="false"/>
                <w:bCs w:val="false"/>
                <w:i/>
                <w:iCs/>
                <w:color w:val="445566"/>
                <w:sz w:val="17"/>
                <w:szCs w:val="17"/>
              </w:rPr>
              <w:t xml:space="preserve">Status:  </w:t>
            </w:r>
            <w:r>
              <w:rPr>
                <w:rFonts w:ascii="Arial" w:cs="Arial" w:eastAsia="Arial" w:hAnsi="Arial"/>
                <w:b/>
                <w:bCs/>
                <w:i w:val="false"/>
                <w:iCs w:val="false"/>
                <w:color w:val="2E5FAB"/>
                <w:sz w:val="17"/>
                <w:szCs w:val="17"/>
              </w:rPr>
              <w:t xml:space="preserve">PLANNED</w:t>
            </w:r>
            <w:r>
              <w:rPr>
                <w:rFonts w:ascii="Arial" w:cs="Arial" w:eastAsia="Arial" w:hAnsi="Arial"/>
                <w:b w:val="false"/>
                <w:bCs w:val="false"/>
                <w:i/>
                <w:iCs/>
                <w:color w:val="445566"/>
                <w:sz w:val="17"/>
                <w:szCs w:val="17"/>
              </w:rPr>
              <w:t xml:space="preserve">     |     Reference:  </w:t>
            </w:r>
            <w:r>
              <w:rPr>
                <w:rFonts w:ascii="Arial" w:cs="Arial" w:eastAsia="Arial" w:hAnsi="Arial"/>
                <w:b w:val="false"/>
                <w:bCs w:val="false"/>
                <w:i w:val="false"/>
                <w:iCs w:val="false"/>
                <w:color w:val="00ACC1"/>
                <w:sz w:val="17"/>
                <w:szCs w:val="17"/>
              </w:rPr>
              <w:t xml:space="preserve">Rack Phased Development Plan Rev 1.2</w:t>
            </w:r>
          </w:p>
        </w:tc>
      </w:tr>
    </w:tbl>
    <w:p>
      <w:pPr>
        <w:spacing w:after="0" w:before="3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Phase Overview</w:t>
      </w:r>
    </w:p>
    <w:p>
      <w:pPr>
        <w:spacing w:after="0" w:before="80"/>
      </w:pPr>
      <w:r>
        <w:t xml:space="preserve"/>
      </w:r>
    </w:p>
    <w:p>
      <w:pPr>
        <w:spacing w:after="120" w:before="0" w:line="320"/>
      </w:pPr>
      <w:r>
        <w:rPr>
          <w:rFonts w:ascii="Arial" w:cs="Arial" w:eastAsia="Arial" w:hAnsi="Arial"/>
          <w:b w:val="false"/>
          <w:bCs w:val="false"/>
          <w:i w:val="false"/>
          <w:iCs w:val="false"/>
          <w:color w:val="1A1A1A"/>
          <w:sz w:val="19"/>
          <w:szCs w:val="19"/>
        </w:rPr>
        <w:t xml:space="preserve">Gate G6 confirms that the complete predictive maintenance workflow is operational end to end and that the system is demonstrable remotely before the independence exercise begins. The automated work order chain from sensor threshold breach to technician notification must be verified. Remote demonstration capability must be confirmed from outside the home network.</w:t>
      </w:r>
    </w:p>
    <w:p>
      <w:pPr>
        <w:spacing w:after="0" w:before="80"/>
      </w:pPr>
      <w:r>
        <w:t xml:space="preserve"/>
      </w:r>
    </w:p>
    <w:p>
      <w:pPr>
        <w:spacing w:after="120" w:before="0" w:line="320"/>
      </w:pPr>
      <w:r>
        <w:rPr>
          <w:rFonts w:ascii="Arial" w:cs="Arial" w:eastAsia="Arial" w:hAnsi="Arial"/>
          <w:b w:val="false"/>
          <w:bCs w:val="false"/>
          <w:i/>
          <w:iCs/>
          <w:color w:val="445566"/>
          <w:sz w:val="19"/>
          <w:szCs w:val="19"/>
        </w:rPr>
        <w:t xml:space="preserve">Full phase detail — purpose, key activities, demonstration value, and implementation notes — is documented in the Rack Phased Development Plan Rev 1.2, located in 06_rack_documentation/rack_phased_development_plan/.</w:t>
      </w:r>
    </w:p>
    <w:p>
      <w:pPr>
        <w:spacing w:after="0" w:before="3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Gate Entry Criteria</w:t>
      </w:r>
    </w:p>
    <w:p>
      <w:pPr>
        <w:spacing w:after="0" w:before="80"/>
      </w:pPr>
      <w:r>
        <w:t xml:space="preserve"/>
      </w:r>
    </w:p>
    <w:p>
      <w:pPr>
        <w:spacing w:after="120" w:before="0" w:line="320"/>
      </w:pPr>
      <w:r>
        <w:rPr>
          <w:rFonts w:ascii="Arial" w:cs="Arial" w:eastAsia="Arial" w:hAnsi="Arial"/>
          <w:b w:val="false"/>
          <w:bCs w:val="false"/>
          <w:i/>
          <w:iCs/>
          <w:color w:val="445566"/>
          <w:sz w:val="19"/>
          <w:szCs w:val="19"/>
        </w:rPr>
        <w:t xml:space="preserve">All criteria must be satisfied and documented before this gate is passed and the next phase is authorized to begin. Check each item at time of gate review.</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7560"/>
        <w:gridCol w:w="1200"/>
      </w:tblGrid>
      <w:tr>
        <w:tc>
          <w:tcPr>
            <w:tcW w:type="dxa" w:w="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w:t>
            </w:r>
          </w:p>
        </w:tc>
        <w:tc>
          <w:tcPr>
            <w:tcW w:type="dxa" w:w="75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Criteria</w:t>
            </w:r>
          </w:p>
        </w:tc>
        <w:tc>
          <w:tcPr>
            <w:tcW w:type="dxa" w:w="1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MaintainX CMMS account configured — asset register complete for all rack equipment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Node-RED MaintainX API flow operational — authenticated, tested, credentials secured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3</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Sensor threshold configured in Node-RED — based on established baseline values from Gate G5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Threshold breach confirmed to trigger MaintainX work order automatically — tested end to 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5</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Work order contains correct asset, fault description, sensor readings, and priority level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Technician notification confirmed — notification delivered on threshold breach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7</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Complete predictive maintenance chain demonstrated — sensor anomaly to broker to Node-RED to MaintainX API to work order to notification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Tailscale remote access confirmed — live Grafana dashboards accessible from outside home network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9</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Ignition Perspective accessible remotely via Tailscale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Webcam operational on 42U rack — live visual feed accessible remotely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11</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Operator panel rack demonstrated as portable standalone unit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MaintainX flow and configuration committed to version control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13</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Gate G6 sign-off documented in this record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bl>
    <w:p>
      <w:pPr>
        <w:spacing w:after="0" w:before="3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Gate Sign-Off Record</w:t>
      </w:r>
    </w:p>
    <w:p>
      <w:pPr>
        <w:spacing w:after="0" w:before="80"/>
      </w:pPr>
      <w:r>
        <w:t xml:space="preserve"/>
      </w:r>
    </w:p>
    <w:p>
      <w:pPr>
        <w:spacing w:after="120" w:before="0" w:line="320"/>
      </w:pPr>
      <w:r>
        <w:rPr>
          <w:rFonts w:ascii="Arial" w:cs="Arial" w:eastAsia="Arial" w:hAnsi="Arial"/>
          <w:b w:val="false"/>
          <w:bCs w:val="false"/>
          <w:i/>
          <w:iCs/>
          <w:color w:val="445566"/>
          <w:sz w:val="19"/>
          <w:szCs w:val="19"/>
        </w:rPr>
        <w:t xml:space="preserve">Complete this section when all gate criteria have been satisfied. Gate sign-off authorizes commencement of the next phase.</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Gate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G6</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Phase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Predictive Maintenance and Remote Demonstration</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Date Passed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FFFFFF"/>
                <w:sz w:val="17"/>
                <w:szCs w:val="17"/>
              </w:rPr>
              <w:t xml:space="preserve"/>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Signed Off By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FFFFFF"/>
                <w:sz w:val="17"/>
                <w:szCs w:val="17"/>
              </w:rPr>
              <w:t xml:space="preserve"/>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All Criteria Satisfied</w:t>
            </w:r>
          </w:p>
        </w:tc>
        <w:tc>
          <w:tcPr>
            <w:tcW w:type="dxa" w:w="6760"/>
            <w:tcBorders>
              <w:top w:val="single" w:color="CCCCCC" w:sz="1"/>
              <w:left w:val="single" w:color="CCCCCC" w:sz="1"/>
              <w:bottom w:val="single" w:color="CCCCCC" w:sz="1"/>
              <w:right w:val="single" w:color="CCCCCC" w:sz="1"/>
            </w:tcBorders>
            <w:shd w:fill="FFFFFF" w:val="clear"/>
            <w:tcMar>
              <w:top w:type="dxa" w:w="160"/>
              <w:left w:type="dxa" w:w="140"/>
              <w:bottom w:type="dxa" w:w="160"/>
              <w:right w:type="dxa" w:w="100"/>
            </w:tcMar>
          </w:tcPr>
          <w:p>
            <w:r>
              <w:rPr>
                <w:rFonts w:ascii="Arial" w:cs="Arial" w:eastAsia="Arial" w:hAnsi="Arial"/>
                <w:b w:val="false"/>
                <w:bCs w:val="false"/>
                <w:i w:val="false"/>
                <w:iCs w:val="false"/>
                <w:color w:val="1A1A1A"/>
                <w:sz w:val="17"/>
                <w:szCs w:val="17"/>
              </w:rPr>
              <w:t xml:space="preserve">☐  Yes     ☐  No — conditions noted below</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Conditions / Notes</w:t>
            </w:r>
          </w:p>
        </w:tc>
        <w:tc>
          <w:tcPr>
            <w:tcW w:type="dxa" w:w="6760"/>
            <w:tcBorders>
              <w:top w:val="single" w:color="CCCCCC" w:sz="1"/>
              <w:left w:val="single" w:color="CCCCCC" w:sz="1"/>
              <w:bottom w:val="single" w:color="CCCCCC" w:sz="1"/>
              <w:right w:val="single" w:color="CCCCCC" w:sz="1"/>
            </w:tcBorders>
            <w:shd w:fill="FFFFFF" w:val="clear"/>
            <w:tcMar>
              <w:top w:type="dxa" w:w="160"/>
              <w:left w:type="dxa" w:w="140"/>
              <w:bottom w:type="dxa" w:w="160"/>
              <w:right w:type="dxa" w:w="100"/>
            </w:tcMar>
          </w:tcPr>
          <w:p>
            <w:r>
              <w:rPr>
                <w:rFonts w:ascii="Arial" w:cs="Arial" w:eastAsia="Arial" w:hAnsi="Arial"/>
                <w:b w:val="false"/>
                <w:bCs w:val="false"/>
                <w:i w:val="false"/>
                <w:iCs w:val="false"/>
                <w:color w:val="FFFFFF"/>
                <w:sz w:val="17"/>
                <w:szCs w:val="17"/>
              </w:rPr>
              <w:t xml:space="preserve"/>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Authorization to Proceed</w:t>
            </w:r>
          </w:p>
        </w:tc>
        <w:tc>
          <w:tcPr>
            <w:tcW w:type="dxa" w:w="6760"/>
            <w:tcBorders>
              <w:top w:val="single" w:color="CCCCCC" w:sz="1"/>
              <w:left w:val="single" w:color="CCCCCC" w:sz="1"/>
              <w:bottom w:val="single" w:color="CCCCCC" w:sz="1"/>
              <w:right w:val="single" w:color="CCCCCC" w:sz="1"/>
            </w:tcBorders>
            <w:shd w:fill="FFFFFF" w:val="clear"/>
            <w:tcMar>
              <w:top w:type="dxa" w:w="160"/>
              <w:left w:type="dxa" w:w="140"/>
              <w:bottom w:type="dxa" w:w="160"/>
              <w:right w:type="dxa" w:w="100"/>
            </w:tcMar>
          </w:tcPr>
          <w:p>
            <w:r>
              <w:rPr>
                <w:rFonts w:ascii="Arial" w:cs="Arial" w:eastAsia="Arial" w:hAnsi="Arial"/>
                <w:b w:val="false"/>
                <w:bCs w:val="false"/>
                <w:i w:val="false"/>
                <w:iCs w:val="false"/>
                <w:color w:val="1A1A1A"/>
                <w:sz w:val="17"/>
                <w:szCs w:val="17"/>
              </w:rPr>
              <w:t xml:space="preserve">☐  Authorized     ☐  Conditional     ☐  Not Authorized</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CC1" w:sz="4" w:space="4"/>
      </w:pBdr>
      <w:tabs>
        <w:tab w:val="right" w:pos="9360"/>
      </w:tabs>
      <w:spacing w:after="0" w:before="120"/>
    </w:pPr>
    <w:r>
      <w:rPr>
        <w:rFonts w:ascii="Arial" w:cs="Arial" w:eastAsia="Arial" w:hAnsi="Arial"/>
        <w:b w:val="false"/>
        <w:bCs w:val="false"/>
        <w:i w:val="false"/>
        <w:iCs w:val="false"/>
        <w:color w:val="445566"/>
        <w:sz w:val="16"/>
        <w:szCs w:val="16"/>
      </w:rPr>
      <w:t xml:space="preserve">Loogootee Mfg. Training Simulation  ·  Gate Entry Document</w:t>
    </w:r>
    <w:r>
      <w:rPr>
        <w:rFonts w:ascii="Arial" w:cs="Arial" w:eastAsia="Arial" w:hAnsi="Arial"/>
      </w:rPr>
      <w:t xml:space="preserve">	</w:t>
    </w:r>
    <w:r>
      <w:rPr>
        <w:rFonts w:ascii="Arial" w:cs="Arial" w:eastAsia="Arial" w:hAnsi="Arial"/>
        <w:b w:val="false"/>
        <w:bCs w:val="false"/>
        <w:i w:val="false"/>
        <w:iCs w:val="false"/>
        <w:color w:val="445566"/>
        <w:sz w:val="16"/>
        <w:szCs w:val="16"/>
      </w:rPr>
      <w:t xml:space="preserve">Page </w:t>
    </w:r>
    <w:r>
      <w:rPr>
        <w:rFonts w:ascii="Arial" w:cs="Arial" w:eastAsia="Arial" w:hAnsi="Arial"/>
        <w:color w:val="4455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B" w:sz="4" w:space="4"/>
      </w:pBdr>
      <w:spacing w:after="120" w:before="0"/>
    </w:pPr>
    <w:r>
      <w:rPr>
        <w:rFonts w:ascii="Arial" w:cs="Arial" w:eastAsia="Arial" w:hAnsi="Arial"/>
        <w:b w:val="false"/>
        <w:bCs w:val="false"/>
        <w:i w:val="false"/>
        <w:iCs w:val="false"/>
        <w:color w:val="445566"/>
        <w:sz w:val="16"/>
        <w:szCs w:val="16"/>
      </w:rPr>
      <w:t xml:space="preserve">LOOGOOTEE MFG.  ·  G6 — Predictive Maintenance and Remote Demonstration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2026-04-22T22:46:50.092Z</dcterms:created>
  <dcterms:modified xsi:type="dcterms:W3CDTF">2026-04-22T22:46:50.092Z</dcterms:modified>
</cp:coreProperties>
</file>

<file path=docProps/custom.xml><?xml version="1.0" encoding="utf-8"?>
<Properties xmlns="http://schemas.openxmlformats.org/officeDocument/2006/custom-properties" xmlns:vt="http://schemas.openxmlformats.org/officeDocument/2006/docPropsVTypes"/>
</file>