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100" w:before="80"/>
            </w:pPr>
            <w:r>
              <w:rPr>
                <w:rFonts w:ascii="Arial" w:cs="Arial" w:eastAsia="Arial" w:hAnsi="Arial"/>
                <w:b w:val="false"/>
                <w:bCs w:val="false"/>
                <w:i w:val="false"/>
                <w:iCs w:val="false"/>
                <w:color w:val="00ACC1"/>
                <w:sz w:val="20"/>
                <w:szCs w:val="20"/>
              </w:rPr>
              <w:t xml:space="preserve">LOOGOOTEE MFG. — TRAINING SIMULATION</w:t>
            </w:r>
          </w:p>
          <w:p>
            <w:pPr>
              <w:spacing w:after="40" w:before="80"/>
            </w:pPr>
            <w:r>
              <w:rPr>
                <w:rFonts w:ascii="Arial" w:cs="Arial" w:eastAsia="Arial" w:hAnsi="Arial"/>
                <w:b/>
                <w:bCs/>
                <w:i w:val="false"/>
                <w:iCs w:val="false"/>
                <w:color w:val="FFFFFF"/>
                <w:sz w:val="44"/>
                <w:szCs w:val="44"/>
              </w:rPr>
              <w:t xml:space="preserve">IIoT Modernization</w:t>
            </w:r>
          </w:p>
          <w:p>
            <w:pPr>
              <w:spacing w:after="180" w:before="0"/>
            </w:pPr>
            <w:r>
              <w:rPr>
                <w:rFonts w:ascii="Arial" w:cs="Arial" w:eastAsia="Arial" w:hAnsi="Arial"/>
                <w:b/>
                <w:bCs/>
                <w:i w:val="false"/>
                <w:iCs w:val="false"/>
                <w:color w:val="7799CC"/>
                <w:sz w:val="32"/>
                <w:szCs w:val="32"/>
              </w:rPr>
              <w:t xml:space="preserve">Project Scope of Work</w:t>
            </w:r>
          </w:p>
          <w:p>
            <w:pPr>
              <w:pBdr>
                <w:bottom w:val="single" w:color="4477AA" w:sz="2" w:space="1"/>
              </w:pBdr>
              <w:spacing w:after="0" w:before="0"/>
            </w:pPr>
            <w:r>
              <w:t xml:space="preserve"/>
            </w:r>
          </w:p>
          <w:p>
            <w:pPr>
              <w:spacing w:after="40" w:before="120"/>
            </w:pPr>
            <w:r>
              <w:rPr>
                <w:rFonts w:ascii="Arial" w:cs="Arial" w:eastAsia="Arial" w:hAnsi="Arial"/>
                <w:b w:val="false"/>
                <w:bCs w:val="false"/>
                <w:i/>
                <w:iCs/>
                <w:color w:val="00ACC1"/>
                <w:sz w:val="18"/>
                <w:szCs w:val="18"/>
              </w:rPr>
              <w:t xml:space="preserve">Prepared by: Jeremy Field  ·  Loogootee Mfg., Inc.  ·  April 2026</w:t>
            </w:r>
          </w:p>
          <w:p>
            <w:pPr>
              <w:spacing w:after="80" w:before="80"/>
            </w:pPr>
            <w:r>
              <w:rPr>
                <w:rFonts w:ascii="Arial" w:cs="Arial" w:eastAsia="Arial" w:hAnsi="Arial"/>
                <w:b w:val="false"/>
                <w:bCs w:val="false"/>
                <w:i/>
                <w:iCs/>
                <w:color w:val="445566"/>
                <w:sz w:val="16"/>
                <w:szCs w:val="16"/>
              </w:rPr>
              <w:t xml:space="preserve">Version 1.1  ·  Training Simulation — Not for Distribution</w:t>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60" w:before="60"/>
            </w:pPr>
            <w:r>
              <w:rPr>
                <w:rFonts w:ascii="Arial" w:cs="Arial" w:eastAsia="Arial" w:hAnsi="Arial"/>
                <w:b/>
                <w:bCs/>
                <w:i w:val="false"/>
                <w:iCs w:val="false"/>
                <w:color w:val="E65100"/>
                <w:sz w:val="17"/>
                <w:szCs w:val="17"/>
              </w:rPr>
              <w:t xml:space="preserve">TRAINING SIMULATION  </w:t>
            </w:r>
            <w:r>
              <w:rPr>
                <w:rFonts w:ascii="Arial" w:cs="Arial" w:eastAsia="Arial" w:hAnsi="Arial"/>
                <w:b w:val="false"/>
                <w:bCs w:val="false"/>
                <w:i w:val="false"/>
                <w:iCs w:val="false"/>
                <w:color w:val="E65100"/>
                <w:sz w:val="17"/>
                <w:szCs w:val="17"/>
              </w:rPr>
              <w:t xml:space="preserve">This document is a simulated integration project scope created as a professional training exercise. Loogootee Mfg., Inc. is a fictional company. All facility descriptions, equipment lists, and operational details are illustrative. No actual customer data, proprietary information, or confidential business records are represented.</w:t>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  </w:t>
            </w:r>
            <w:r>
              <w:rPr>
                <w:rFonts w:ascii="Arial" w:cs="Arial" w:eastAsia="Arial" w:hAnsi="Arial"/>
                <w:b/>
                <w:bCs/>
                <w:i w:val="false"/>
                <w:iCs w:val="false"/>
                <w:color w:val="FFFFFF"/>
                <w:sz w:val="22"/>
                <w:szCs w:val="22"/>
              </w:rPr>
              <w:t xml:space="preserve">EXECUTIVE SUMMARY</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Loogootee Manufacturing, Inc. is a mid-size precision metal stamping company serving medical supply manufacturers from two facilities in Loogootee, Illinois. The company operates approximately 20 production machines across its stamping and finishing site and a separate packaging facility located one block away in the same industrial park.</w:t>
      </w:r>
    </w:p>
    <w:p>
      <w:pPr>
        <w:spacing w:after="120" w:before="0" w:line="320"/>
      </w:pPr>
      <w:r>
        <w:rPr>
          <w:rFonts w:ascii="Arial" w:cs="Arial" w:eastAsia="Arial" w:hAnsi="Arial"/>
          <w:b w:val="false"/>
          <w:bCs w:val="false"/>
          <w:i w:val="false"/>
          <w:iCs w:val="false"/>
          <w:color w:val="1A1A1A"/>
          <w:sz w:val="19"/>
          <w:szCs w:val="19"/>
        </w:rPr>
        <w:t xml:space="preserve">Despite decades of successful operation, the company currently has no automated production data collection infrastructure. Machine performance, output rates, scrap quantities, and downtime events are recorded manually by operators on paper travelers and entered into spreadsheets after the fact. The result is a significant and growing gap between actual operational performance and management visibility — a gap that has begun to measurably erode profitability as material costs increase and customer quality requirements intensify.</w:t>
      </w:r>
    </w:p>
    <w:p>
      <w:pPr>
        <w:spacing w:after="120" w:before="0" w:line="320"/>
      </w:pPr>
      <w:r>
        <w:rPr>
          <w:rFonts w:ascii="Arial" w:cs="Arial" w:eastAsia="Arial" w:hAnsi="Arial"/>
          <w:b w:val="false"/>
          <w:bCs w:val="false"/>
          <w:i w:val="false"/>
          <w:iCs w:val="false"/>
          <w:color w:val="1A1A1A"/>
          <w:sz w:val="19"/>
          <w:szCs w:val="19"/>
        </w:rPr>
        <w:t xml:space="preserve">This document defines the scope of work for a phased IIoT modernization program that will connect all production equipment across both facilities to a Unified Namespace — a single real-time data infrastructure providing live production visibility, OEE tracking, historian data, cross-site coordination, IO-Link smart sensor integration, and predictive maintenance capability without interrupting production or modifying existing control programs.</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~175</w:t>
            </w:r>
          </w:p>
          <w:p>
            <w:pPr>
              <w:spacing w:after="60" w:before="0"/>
              <w:jc w:val="center"/>
            </w:pPr>
            <w:r>
              <w:rPr>
                <w:rFonts w:ascii="Arial" w:cs="Arial" w:eastAsia="Arial" w:hAnsi="Arial"/>
                <w:b w:val="false"/>
                <w:bCs w:val="false"/>
                <w:i w:val="false"/>
                <w:iCs w:val="false"/>
                <w:color w:val="7799CC"/>
                <w:sz w:val="15"/>
                <w:szCs w:val="15"/>
              </w:rPr>
              <w:t xml:space="preserve">Employees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$25-40M</w:t>
            </w:r>
          </w:p>
          <w:p>
            <w:pPr>
              <w:spacing w:after="60" w:before="0"/>
              <w:jc w:val="center"/>
            </w:pPr>
            <w:r>
              <w:rPr>
                <w:rFonts w:ascii="Arial" w:cs="Arial" w:eastAsia="Arial" w:hAnsi="Arial"/>
                <w:b w:val="false"/>
                <w:bCs w:val="false"/>
                <w:i w:val="false"/>
                <w:iCs w:val="false"/>
                <w:color w:val="7799CC"/>
                <w:sz w:val="15"/>
                <w:szCs w:val="15"/>
              </w:rPr>
              <w:t xml:space="preserve">Annual Revenue</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w:t>
            </w:r>
          </w:p>
          <w:p>
            <w:pPr>
              <w:spacing w:after="60" w:before="0"/>
              <w:jc w:val="center"/>
            </w:pPr>
            <w:r>
              <w:rPr>
                <w:rFonts w:ascii="Arial" w:cs="Arial" w:eastAsia="Arial" w:hAnsi="Arial"/>
                <w:b w:val="false"/>
                <w:bCs w:val="false"/>
                <w:i w:val="false"/>
                <w:iCs w:val="false"/>
                <w:color w:val="7799CC"/>
                <w:sz w:val="15"/>
                <w:szCs w:val="15"/>
              </w:rPr>
              <w:t xml:space="preserve">Facilities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20+</w:t>
            </w:r>
          </w:p>
          <w:p>
            <w:pPr>
              <w:spacing w:after="60" w:before="0"/>
              <w:jc w:val="center"/>
            </w:pPr>
            <w:r>
              <w:rPr>
                <w:rFonts w:ascii="Arial" w:cs="Arial" w:eastAsia="Arial" w:hAnsi="Arial"/>
                <w:b w:val="false"/>
                <w:bCs w:val="false"/>
                <w:i w:val="false"/>
                <w:iCs w:val="false"/>
                <w:color w:val="7799CC"/>
                <w:sz w:val="15"/>
                <w:szCs w:val="15"/>
              </w:rPr>
              <w:t xml:space="preserve">Production Machines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0</w:t>
            </w:r>
          </w:p>
          <w:p>
            <w:pPr>
              <w:spacing w:after="60" w:before="0"/>
              <w:jc w:val="center"/>
            </w:pPr>
            <w:r>
              <w:rPr>
                <w:rFonts w:ascii="Arial" w:cs="Arial" w:eastAsia="Arial" w:hAnsi="Arial"/>
                <w:b w:val="false"/>
                <w:bCs w:val="false"/>
                <w:i w:val="false"/>
                <w:iCs w:val="false"/>
                <w:color w:val="7799CC"/>
                <w:sz w:val="15"/>
                <w:szCs w:val="15"/>
              </w:rPr>
              <w:t xml:space="preserve">Automated Data Points</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  </w:t>
            </w:r>
            <w:r>
              <w:rPr>
                <w:rFonts w:ascii="Arial" w:cs="Arial" w:eastAsia="Arial" w:hAnsi="Arial"/>
                <w:b/>
                <w:bCs/>
                <w:i w:val="false"/>
                <w:iCs w:val="false"/>
                <w:color w:val="FFFFFF"/>
                <w:sz w:val="22"/>
                <w:szCs w:val="22"/>
              </w:rPr>
              <w:t xml:space="preserve">COMPANY BACKGROUND</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1.1  Company History</w:t>
      </w:r>
    </w:p>
    <w:p>
      <w:pPr>
        <w:spacing w:after="120" w:before="0" w:line="320"/>
      </w:pPr>
      <w:r>
        <w:rPr>
          <w:rFonts w:ascii="Arial" w:cs="Arial" w:eastAsia="Arial" w:hAnsi="Arial"/>
          <w:b w:val="false"/>
          <w:bCs w:val="false"/>
          <w:i w:val="false"/>
          <w:iCs w:val="false"/>
          <w:color w:val="1A1A1A"/>
          <w:sz w:val="19"/>
          <w:szCs w:val="19"/>
        </w:rPr>
        <w:t xml:space="preserve">Loogootee Manufacturing was established in the mid-1970s as a precision metal stamping operation serving industrial OEM customers in the midwest. The company built its reputation on close-tolerance stamped and formed metal components, developing long-term relationships with customers in the automotive, agricultural, and industrial equipment sectors.</w:t>
      </w:r>
    </w:p>
    <w:p>
      <w:pPr>
        <w:spacing w:after="120" w:before="0" w:line="320"/>
      </w:pPr>
      <w:r>
        <w:rPr>
          <w:rFonts w:ascii="Arial" w:cs="Arial" w:eastAsia="Arial" w:hAnsi="Arial"/>
          <w:b w:val="false"/>
          <w:bCs w:val="false"/>
          <w:i w:val="false"/>
          <w:iCs w:val="false"/>
          <w:color w:val="1A1A1A"/>
          <w:sz w:val="19"/>
          <w:szCs w:val="19"/>
        </w:rPr>
        <w:t xml:space="preserve">In the late 1980s and early 1990s the company invested in its first generation of programmable control systems, replacing relay-based machine controls with early Allen-Bradley PLC platforms across the primary stamping operations. This modernization improved reliability and enabled more consistent production rates but did not include any data collection capability beyond basic machine status indication.</w:t>
      </w:r>
    </w:p>
    <w:p>
      <w:pPr>
        <w:spacing w:after="120" w:before="0" w:line="320"/>
      </w:pPr>
      <w:r>
        <w:rPr>
          <w:rFonts w:ascii="Arial" w:cs="Arial" w:eastAsia="Arial" w:hAnsi="Arial"/>
          <w:b w:val="false"/>
          <w:bCs w:val="false"/>
          <w:i w:val="false"/>
          <w:iCs w:val="false"/>
          <w:color w:val="1A1A1A"/>
          <w:sz w:val="19"/>
          <w:szCs w:val="19"/>
        </w:rPr>
        <w:t xml:space="preserve">A strategic shift in the early 2000s repositioned the company toward the medical supply manufacturing sector, where tighter tolerances, material traceability requirements, and long-term supply relationships aligned with existing capabilities. Medical supply OEM customers now represent the majority of annual revenue.</w:t>
      </w:r>
    </w:p>
    <w:p>
      <w:pPr>
        <w:spacing w:after="0" w:before="16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1.2  Recent Expansion</w:t>
      </w:r>
    </w:p>
    <w:p>
      <w:pPr>
        <w:spacing w:after="120" w:before="0" w:line="320"/>
      </w:pPr>
      <w:r>
        <w:rPr>
          <w:rFonts w:ascii="Arial" w:cs="Arial" w:eastAsia="Arial" w:hAnsi="Arial"/>
          <w:b w:val="false"/>
          <w:bCs w:val="false"/>
          <w:i w:val="false"/>
          <w:iCs w:val="false"/>
          <w:color w:val="1A1A1A"/>
          <w:sz w:val="19"/>
          <w:szCs w:val="19"/>
        </w:rPr>
        <w:t xml:space="preserve">Demand growth in the mid-2010s created capacity pressure at the original facility. The company made the decision to bring washing and surface treatment operations in-house rather than continue outsourcing — a change that improved quality control and reduced lead times but required significant floor space.</w:t>
      </w:r>
    </w:p>
    <w:p>
      <w:pPr>
        <w:spacing w:after="120" w:before="0" w:line="320"/>
      </w:pPr>
      <w:r>
        <w:rPr>
          <w:rFonts w:ascii="Arial" w:cs="Arial" w:eastAsia="Arial" w:hAnsi="Arial"/>
          <w:b w:val="false"/>
          <w:bCs w:val="false"/>
          <w:i w:val="false"/>
          <w:iCs w:val="false"/>
          <w:color w:val="1A1A1A"/>
          <w:sz w:val="19"/>
          <w:szCs w:val="19"/>
        </w:rPr>
        <w:t xml:space="preserve">Packaging and warehousing operations were relocated to a second facility approximately one block away to accommodate the new washing and finishing equipment. The two facilities now operate as a sequential production flow: Site 1 produces, washes, and inspects finished stampings; Site 2 packages, labels, and ships to customer.</w:t>
      </w:r>
    </w:p>
    <w:p>
      <w:pPr>
        <w:spacing w:after="120" w:before="0" w:line="320"/>
      </w:pPr>
      <w:r>
        <w:rPr>
          <w:rFonts w:ascii="Arial" w:cs="Arial" w:eastAsia="Arial" w:hAnsi="Arial"/>
          <w:b w:val="false"/>
          <w:bCs w:val="false"/>
          <w:i w:val="false"/>
          <w:iCs w:val="false"/>
          <w:color w:val="1A1A1A"/>
          <w:sz w:val="19"/>
          <w:szCs w:val="19"/>
        </w:rPr>
        <w:t xml:space="preserve">The expansion added production capacity but introduced a new operational challenge: the two sites have no electronic data connection. Finished part counts, quality status, and production records transfer between facilities on paper travelers carried by material handlers. Discrepancies between Site 1 output counts and Site 2 receiving counts are common, unresolved, and untracked.</w:t>
      </w:r>
    </w:p>
    <w:p>
      <w:pPr>
        <w:spacing w:after="0" w:before="16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1.3  Current Control Infrastructure</w:t>
      </w:r>
    </w:p>
    <w:p>
      <w:pPr>
        <w:spacing w:after="120" w:before="0" w:line="320"/>
      </w:pPr>
      <w:r>
        <w:rPr>
          <w:rFonts w:ascii="Arial" w:cs="Arial" w:eastAsia="Arial" w:hAnsi="Arial"/>
          <w:b w:val="false"/>
          <w:bCs w:val="false"/>
          <w:i w:val="false"/>
          <w:iCs w:val="false"/>
          <w:color w:val="1A1A1A"/>
          <w:sz w:val="19"/>
          <w:szCs w:val="19"/>
        </w:rPr>
        <w:t xml:space="preserve">Production equipment across both facilities spans approximately three decades of control system technology. The installed base reflects a mix of vendors and generations accumulated through individual equipment purchases rather than any coordinated controls architecture strategy.</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000"/>
        <w:gridCol w:w="1200"/>
        <w:gridCol w:w="1400"/>
        <w:gridCol w:w="2360"/>
      </w:tblGrid>
      <w:tr>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Equipment</w:t>
            </w:r>
          </w:p>
        </w:tc>
        <w:tc>
          <w:tcPr>
            <w:tcW w:type="dxa" w:w="2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Control Platform</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Vintage</w:t>
            </w:r>
          </w:p>
        </w:tc>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Site</w:t>
            </w:r>
          </w:p>
        </w:tc>
        <w:tc>
          <w:tcPr>
            <w:tcW w:type="dxa" w:w="2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Network Capability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Progressive Stamping Press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MicroLogix 1400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2005-2008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Stamping Press — Legacy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MicroLogix 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1998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DF1 Serial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Palletizer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Micro850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2012-2015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Wash Line / Surface Treatment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CompactLogix L24ER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 / OPC-UA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Safety Press with Light Curtain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GuardLogix + Point I/O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CIP Safety / 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High Speed Forming Cell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Beckhoff CX5120 / EtherCAT 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EtherCAT / OPC-UA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Sort and Inspection Line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Siemens S7-1200 + ET200SP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PROFINET / OPC-UA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Conveyor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Siemens S7-1200 + ET200SP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PROFINET / PROFIBUS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Variable Speed Drives ×3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PowerFlex 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2008-2014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Modbus RTU via Serial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Packaging Equipment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Wago PFC200 750-8206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Native MQTT / Sparkplug B</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2.  </w:t>
            </w:r>
            <w:r>
              <w:rPr>
                <w:rFonts w:ascii="Arial" w:cs="Arial" w:eastAsia="Arial" w:hAnsi="Arial"/>
                <w:b/>
                <w:bCs/>
                <w:i w:val="false"/>
                <w:iCs w:val="false"/>
                <w:color w:val="FFFFFF"/>
                <w:sz w:val="22"/>
                <w:szCs w:val="22"/>
              </w:rPr>
              <w:t xml:space="preserve">PROBLEM STATEMENT &amp; BUSINESS IMPACT</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2.1  Operational Visibility</w:t>
      </w:r>
    </w:p>
    <w:p>
      <w:pPr>
        <w:spacing w:after="120" w:before="0" w:line="320"/>
      </w:pPr>
      <w:r>
        <w:rPr>
          <w:rFonts w:ascii="Arial" w:cs="Arial" w:eastAsia="Arial" w:hAnsi="Arial"/>
          <w:b w:val="false"/>
          <w:bCs w:val="false"/>
          <w:i w:val="false"/>
          <w:iCs w:val="false"/>
          <w:color w:val="1A1A1A"/>
          <w:sz w:val="19"/>
          <w:szCs w:val="19"/>
        </w:rPr>
        <w:t xml:space="preserve">Production performance is currently measured by end-of-shift manual counts recorded on paper travelers. Operators record part counts, downtime events, and scrap quantities by hand. Data is entered into spreadsheets the following day, often incompletely and without consistent definitions of what constitutes a countable event. Management has no real-time visibility into machine status, current production rate versus target, active faults, or shift performance.</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2.2  OEE and Efficiency</w:t>
      </w:r>
    </w:p>
    <w:p>
      <w:pPr>
        <w:spacing w:after="120" w:before="0" w:line="320"/>
      </w:pPr>
      <w:r>
        <w:rPr>
          <w:rFonts w:ascii="Arial" w:cs="Arial" w:eastAsia="Arial" w:hAnsi="Arial"/>
          <w:b w:val="false"/>
          <w:bCs w:val="false"/>
          <w:i w:val="false"/>
          <w:iCs w:val="false"/>
          <w:color w:val="1A1A1A"/>
          <w:sz w:val="19"/>
          <w:szCs w:val="19"/>
        </w:rPr>
        <w:t xml:space="preserve">Overall Equipment Effectiveness has never been formally calculated. Availability data does not exist in any structured form. Performance data is anecdotal. Quality data relies on end-of-line inspection records that capture defects found, not defects made. The company cannot accurately determine whether it can meet production commitments before accepting customer orders.</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2.3  Maintenance and Downtime</w:t>
      </w:r>
    </w:p>
    <w:p>
      <w:pPr>
        <w:spacing w:after="120" w:before="0" w:line="320"/>
      </w:pPr>
      <w:r>
        <w:rPr>
          <w:rFonts w:ascii="Arial" w:cs="Arial" w:eastAsia="Arial" w:hAnsi="Arial"/>
          <w:b w:val="false"/>
          <w:bCs w:val="false"/>
          <w:i w:val="false"/>
          <w:iCs w:val="false"/>
          <w:color w:val="1A1A1A"/>
          <w:sz w:val="19"/>
          <w:szCs w:val="19"/>
        </w:rPr>
        <w:t xml:space="preserve">The maintenance workforce has experienced significant attrition as experienced technicians retire. Institutional knowledge of machine quirks, failure patterns, and preventive maintenance requirements has largely departed with them. Without downtime tracking data, the maintenance budget cannot be prioritized by actual need. Maintenance resources are allocated reactively rather than proactively to machines with increasing failure frequency.</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2.4  Material Cost and Scrap Impact</w:t>
      </w:r>
    </w:p>
    <w:p>
      <w:pPr>
        <w:spacing w:after="120" w:before="0" w:line="320"/>
      </w:pPr>
      <w:r>
        <w:rPr>
          <w:rFonts w:ascii="Arial" w:cs="Arial" w:eastAsia="Arial" w:hAnsi="Arial"/>
          <w:b w:val="false"/>
          <w:bCs w:val="false"/>
          <w:i w:val="false"/>
          <w:iCs w:val="false"/>
          <w:color w:val="1A1A1A"/>
          <w:sz w:val="19"/>
          <w:szCs w:val="19"/>
        </w:rPr>
        <w:t xml:space="preserve">Raw material costs have increased substantially. Scrap rates, which directly multiply material cost impact, are not systematically tracked. Operators estimate scrap quantities at end of shift. Management has identified that actual scrap rates are likely significantly higher than reported figures suggest, based on material consumption versus finished goods output reconciliation.</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2.5  Customer and Regulatory Requirements</w:t>
      </w:r>
    </w:p>
    <w:p>
      <w:pPr>
        <w:spacing w:after="120" w:before="0" w:line="320"/>
      </w:pPr>
      <w:r>
        <w:rPr>
          <w:rFonts w:ascii="Arial" w:cs="Arial" w:eastAsia="Arial" w:hAnsi="Arial"/>
          <w:b w:val="false"/>
          <w:bCs w:val="false"/>
          <w:i w:val="false"/>
          <w:iCs w:val="false"/>
          <w:color w:val="1A1A1A"/>
          <w:sz w:val="19"/>
          <w:szCs w:val="19"/>
        </w:rPr>
        <w:t xml:space="preserve">Medical supply OEM customers require supplier quality documentation as a condition of ongoing business. Current manual record keeping practices create audit exposure and have been flagged by two customers in the past eighteen months as requiring improvement. Loss of a single major medical OEM customer would represent a material revenue impact.</w:t>
      </w:r>
    </w:p>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Problem Area</w:t>
            </w:r>
          </w:p>
        </w:tc>
        <w:tc>
          <w:tcPr>
            <w:tcW w:type="dxa" w:w="308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Current State</w:t>
            </w:r>
          </w:p>
        </w:tc>
        <w:tc>
          <w:tcPr>
            <w:tcW w:type="dxa" w:w="408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Business Impact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Visibility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paper records, next-day data entry</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 real-time scheduling or floor management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OEE Tracking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Not measured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Inability to commit accurately to customer schedules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Maintenance Planning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Reactive only, institutional knowledge lost</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Increasing unplanned downtime, rising repair costs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Scrap Tracking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estimation, inconsistent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Unquantified material cost erosion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Cross-Site Coordination</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Paper travelers, phone calls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Inventory discrepancies, scheduling gaps between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Customer Documentation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logs, audit exposure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Customer attrition risk, potential contract loss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Predictive Maintenance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 sensor data, no condition monitoring</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Undetected bearing wear, pump failures, equipment damage</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3.  </w:t>
            </w:r>
            <w:r>
              <w:rPr>
                <w:rFonts w:ascii="Arial" w:cs="Arial" w:eastAsia="Arial" w:hAnsi="Arial"/>
                <w:b/>
                <w:bCs/>
                <w:i w:val="false"/>
                <w:iCs w:val="false"/>
                <w:color w:val="FFFFFF"/>
                <w:sz w:val="22"/>
                <w:szCs w:val="22"/>
              </w:rPr>
              <w:t xml:space="preserve">PROJECT OBJECTIVES</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4560"/>
        <w:gridCol w:w="4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4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Objective</w:t>
            </w:r>
          </w:p>
        </w:tc>
        <w:tc>
          <w:tcPr>
            <w:tcW w:type="dxa" w:w="4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Success Measure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Connect all production equipment to a real-time data infrastructure without interrupting production or modifying existing control programs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machines publishing live data to Unified Namespace within project timeline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Establish automated OEE calculation for all production equipment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OEE visible on dashboard for every machine, updated in real time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Implement automated scrap and part count tracking at point of production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Scrap rate calculated from actual machine data, not manual estimation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Deploy maintenance downtime tracking and fault history logging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Downtime events captured automatically with timestamp, duration, and fault code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Create real-time production visibility dashboard accessible to management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Live dashboard showing all machines, both sites, on a single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Establish electronic cross-site part tracking replacing paper travelers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output count and Site 2 receiving count reconciled automatically in real time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7</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automated production documentation sufficient for customer audit requirements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Historian data exportable as production records meeting medical OEM audit standards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Deploy IO-Link smart sensors for process monitoring and condition assessment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Temperature, pressure, flow, and vibration data publishing to UNS alongside PLC data</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9</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Implement predictive maintenance capability — automated work order generation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Sensor threshold breach triggers MaintainX work order automatically — technician notification demonstrated end to 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Demonstrate remote multi-site monitoring via secure VPN tunnel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Live production data and dashboards accessible remotely without cloud dependency</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4.  </w:t>
            </w:r>
            <w:r>
              <w:rPr>
                <w:rFonts w:ascii="Arial" w:cs="Arial" w:eastAsia="Arial" w:hAnsi="Arial"/>
                <w:b/>
                <w:bCs/>
                <w:i w:val="false"/>
                <w:iCs w:val="false"/>
                <w:color w:val="FFFFFF"/>
                <w:sz w:val="22"/>
                <w:szCs w:val="22"/>
              </w:rPr>
              <w:t xml:space="preserve">PROPOSED SOLUTION ARCHITECTURE</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4.1  Architecture Overview</w:t>
      </w:r>
    </w:p>
    <w:p>
      <w:pPr>
        <w:spacing w:after="120" w:before="0" w:line="320"/>
      </w:pPr>
      <w:r>
        <w:rPr>
          <w:rFonts w:ascii="Arial" w:cs="Arial" w:eastAsia="Arial" w:hAnsi="Arial"/>
          <w:b w:val="false"/>
          <w:bCs w:val="false"/>
          <w:i w:val="false"/>
          <w:iCs w:val="false"/>
          <w:color w:val="1A1A1A"/>
          <w:sz w:val="19"/>
          <w:szCs w:val="19"/>
        </w:rPr>
        <w:t xml:space="preserve">The proposed solution adds a non-invasive IIoT data layer above the existing control infrastructure at both sites. Existing PLC programs are not modified. No production equipment is taken offline during deployment. The data layer reads from existing controllers via their native communication protocols and publishes structured, contextualized data to a Unified Namespace.</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4.2  The Non-Invasive Data Layer</w:t>
      </w:r>
    </w:p>
    <w:p>
      <w:pPr>
        <w:spacing w:after="120" w:before="0" w:line="320"/>
      </w:pPr>
      <w:r>
        <w:rPr>
          <w:rFonts w:ascii="Arial" w:cs="Arial" w:eastAsia="Arial" w:hAnsi="Arial"/>
          <w:b w:val="false"/>
          <w:bCs w:val="false"/>
          <w:i w:val="false"/>
          <w:iCs w:val="false"/>
          <w:color w:val="1A1A1A"/>
          <w:sz w:val="19"/>
          <w:szCs w:val="19"/>
        </w:rPr>
        <w:t xml:space="preserve">Every PLC runs its existing control program unchanged. The IIoT integration is accomplished entirely at the edge device layer — the groov EPIC-PR1 reads PLC data via each machine's native protocol and publishes it to the Unified Namespace via Node-RED protocol bridging flows. The PLCs have no awareness of the data collection layer operating above them.</w:t>
      </w:r>
    </w:p>
    <w:p>
      <w:pPr>
        <w:spacing w:after="120" w:before="0" w:line="320"/>
      </w:pPr>
      <w:r>
        <w:rPr>
          <w:rFonts w:ascii="Arial" w:cs="Arial" w:eastAsia="Arial" w:hAnsi="Arial"/>
          <w:b w:val="false"/>
          <w:bCs w:val="false"/>
          <w:i w:val="false"/>
          <w:iCs w:val="false"/>
          <w:color w:val="1A1A1A"/>
          <w:sz w:val="19"/>
          <w:szCs w:val="19"/>
        </w:rPr>
        <w:t xml:space="preserve">For newer controllers with OPC-UA capability, the edge device subscribes to specific tags and receives value-change notifications automatically. For legacy controllers without network capability, protocol gateways bridge serial communication to Ethernet. For the MicroLogix 1000 with DF1 serial only, the MGate EIP3170 gateway provides EtherNet/IP access without any modification to the original program.</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4.3  Five-Layer IIoT Stack Architecture</w:t>
      </w:r>
    </w:p>
    <w:p>
      <w:pPr>
        <w:spacing w:after="120" w:before="0" w:line="320"/>
      </w:pPr>
      <w:r>
        <w:rPr>
          <w:rFonts w:ascii="Arial" w:cs="Arial" w:eastAsia="Arial" w:hAnsi="Arial"/>
          <w:b w:val="false"/>
          <w:bCs w:val="false"/>
          <w:i w:val="false"/>
          <w:iCs w:val="false"/>
          <w:color w:val="1A1A1A"/>
          <w:sz w:val="19"/>
          <w:szCs w:val="19"/>
        </w:rPr>
        <w:t xml:space="preserve">The IIoT stack is organized into five layers with defined, non-overlapping responsibilities. Full architectural decision rationale is documented in the IIoT Architecture Decision Record.</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Layer</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Component</w:t>
            </w:r>
          </w:p>
        </w:tc>
        <w:tc>
          <w:tcPr>
            <w:tcW w:type="dxa" w:w="5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Responsibility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 — 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PLC Controllers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Run machine logic. Publish process data via native protocols to EPIC Node-RED.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 — Transport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 Wago · Mosquitto · Node-RED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Translate native protocols to Sparkplug B. Move real-time data. Hold current state. No processing. No storage.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 — Intelligence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SCADA</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Subscribe all broker topics. Mirror ISA-95 hierarchy as tag database. Calculate all derived metrics — OEE, KPIs, shift totals. Publish results back to broker. Sole calculation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 — Historian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 + InfluxDB 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Capture everything that touches the broker into a time series database. Preserve Sparkplug B timestamps. Single source of historical truth.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 — Visualization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OSS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Query InfluxDB only. Render dashboards. No independent calculations. No publish role.</w:t>
            </w:r>
          </w:p>
        </w:tc>
      </w:tr>
    </w:tbl>
    <w:p>
      <w:pPr>
        <w:spacing w:after="0" w:before="160"/>
      </w:pPr>
      <w:r>
        <w:t xml:space="preserve"/>
      </w:r>
    </w:p>
    <w:p>
      <w:pPr>
        <w:spacing w:after="120" w:before="0" w:line="320"/>
      </w:pPr>
      <w:r>
        <w:rPr>
          <w:rFonts w:ascii="Arial" w:cs="Arial" w:eastAsia="Arial" w:hAnsi="Arial"/>
          <w:b w:val="false"/>
          <w:bCs w:val="false"/>
          <w:i w:val="false"/>
          <w:iCs w:val="false"/>
          <w:color w:val="1A1A1A"/>
          <w:sz w:val="19"/>
          <w:szCs w:val="19"/>
        </w:rPr>
        <w:t xml:space="preserve">Three governing principles underpin the architecture: one broker as transport spine, one calculation engine in Ignition, and one historian in InfluxDB. No consumer calculates independently. No data disagreement possible between systems.</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4.4  ISA-95 Tag Naming Standard</w:t>
      </w:r>
    </w:p>
    <w:p>
      <w:pPr>
        <w:spacing w:after="120" w:before="0" w:line="320"/>
      </w:pPr>
      <w:r>
        <w:rPr>
          <w:rFonts w:ascii="Arial" w:cs="Arial" w:eastAsia="Arial" w:hAnsi="Arial"/>
          <w:b w:val="false"/>
          <w:bCs w:val="false"/>
          <w:i w:val="false"/>
          <w:iCs w:val="false"/>
          <w:color w:val="1A1A1A"/>
          <w:sz w:val="19"/>
          <w:szCs w:val="19"/>
        </w:rPr>
        <w:t xml:space="preserve">All data published to the Unified Namespace follows a two-tier ISA-95 naming convention. Tier 1 applies the Device_Attribute convention within PLC tag databases — constrained to platform character limits and historical North American practice. Tier 2 applies the full ISA-95 Site_Area_Device_Attribute hierarchy at the EPIC integration layer.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60" w:before="60"/>
            </w:pPr>
            <w:r>
              <w:rPr>
                <w:rFonts w:ascii="Arial" w:cs="Arial" w:eastAsia="Arial" w:hAnsi="Arial"/>
                <w:b/>
                <w:bCs/>
                <w:i w:val="false"/>
                <w:iCs w:val="false"/>
                <w:color w:val="1B5E20"/>
                <w:sz w:val="17"/>
                <w:szCs w:val="17"/>
              </w:rPr>
              <w:t xml:space="preserve">EXAMPLE  </w:t>
            </w:r>
            <w:r>
              <w:rPr>
                <w:rFonts w:ascii="Arial" w:cs="Arial" w:eastAsia="Arial" w:hAnsi="Arial"/>
                <w:b w:val="false"/>
                <w:bCs w:val="false"/>
                <w:i w:val="false"/>
                <w:iCs w:val="false"/>
                <w:color w:val="1B5E20"/>
                <w:sz w:val="17"/>
                <w:szCs w:val="17"/>
              </w:rPr>
              <w:t xml:space="preserve">Tier 1 (RSLogix 500): Press_Running · Parts_Count · Track_Empty_Flt   |   Tier 2 (UNS): Site1_Stamping_Press01_Running · Site1_Stamping_Press01_Parts_Count</w:t>
            </w:r>
          </w:p>
        </w:tc>
      </w:tr>
    </w:tbl>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4.5  Two-Site Unified Namespace</w:t>
      </w:r>
    </w:p>
    <w:p>
      <w:pPr>
        <w:spacing w:after="120" w:before="0" w:line="320"/>
      </w:pPr>
      <w:r>
        <w:rPr>
          <w:rFonts w:ascii="Arial" w:cs="Arial" w:eastAsia="Arial" w:hAnsi="Arial"/>
          <w:b w:val="false"/>
          <w:bCs w:val="false"/>
          <w:i w:val="false"/>
          <w:iCs w:val="false"/>
          <w:color w:val="1A1A1A"/>
          <w:sz w:val="19"/>
          <w:szCs w:val="19"/>
        </w:rPr>
        <w:t xml:space="preserve">Both facilities publish to a single Unified Namespace hosted on the AOOSTAR NAS platform at Site 1. Site 2 connects via the existing network link between facilities. From the data layer perspective, the two-facility operation appears as a single unified system with a clear ISA-95 site hierarchy.</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80" w:before="60"/>
            </w:pPr>
            <w:r>
              <w:rPr>
                <w:rFonts w:ascii="Arial" w:cs="Arial" w:eastAsia="Arial" w:hAnsi="Arial"/>
                <w:b/>
                <w:bCs/>
                <w:i w:val="false"/>
                <w:iCs w:val="false"/>
                <w:color w:val="2E5FAB"/>
                <w:sz w:val="17"/>
                <w:szCs w:val="17"/>
              </w:rPr>
              <w:t xml:space="preserve">Site 1 — Loogootee, Illinois</w:t>
            </w:r>
          </w:p>
          <w:p>
            <w:pPr>
              <w:spacing w:after="40" w:before="0"/>
            </w:pPr>
            <w:r>
              <w:rPr>
                <w:rFonts w:ascii="Arial" w:cs="Arial" w:eastAsia="Arial" w:hAnsi="Arial"/>
                <w:b/>
                <w:bCs/>
                <w:i w:val="false"/>
                <w:iCs w:val="false"/>
                <w:color w:val="1F3864"/>
                <w:sz w:val="17"/>
                <w:szCs w:val="17"/>
              </w:rPr>
              <w:t xml:space="preserve">Site1_Stamping</w:t>
            </w:r>
          </w:p>
          <w:p>
            <w:pPr>
              <w:spacing w:after="30" w:before="0"/>
            </w:pPr>
            <w:r>
              <w:rPr>
                <w:rFonts w:ascii="Arial" w:cs="Arial" w:eastAsia="Arial" w:hAnsi="Arial"/>
                <w:b w:val="false"/>
                <w:bCs w:val="false"/>
                <w:i w:val="false"/>
                <w:iCs w:val="false"/>
                <w:color w:val="1A1A1A"/>
                <w:sz w:val="16"/>
                <w:szCs w:val="16"/>
              </w:rPr>
              <w:t xml:space="preserve">  → Press01  (MicroLogix 1000)</w:t>
            </w:r>
          </w:p>
          <w:p>
            <w:pPr>
              <w:spacing w:after="30" w:before="0"/>
            </w:pPr>
            <w:r>
              <w:rPr>
                <w:rFonts w:ascii="Arial" w:cs="Arial" w:eastAsia="Arial" w:hAnsi="Arial"/>
                <w:b w:val="false"/>
                <w:bCs w:val="false"/>
                <w:i w:val="false"/>
                <w:iCs w:val="false"/>
                <w:color w:val="1A1A1A"/>
                <w:sz w:val="16"/>
                <w:szCs w:val="16"/>
              </w:rPr>
              <w:t xml:space="preserve">  → Press02, Press03  (MicroLogix 1400 ×2)</w:t>
            </w:r>
          </w:p>
          <w:p>
            <w:pPr>
              <w:spacing w:after="30" w:before="0"/>
            </w:pPr>
            <w:r>
              <w:rPr>
                <w:rFonts w:ascii="Arial" w:cs="Arial" w:eastAsia="Arial" w:hAnsi="Arial"/>
                <w:b w:val="false"/>
                <w:bCs w:val="false"/>
                <w:i w:val="false"/>
                <w:iCs w:val="false"/>
                <w:color w:val="1A1A1A"/>
                <w:sz w:val="16"/>
                <w:szCs w:val="16"/>
              </w:rPr>
              <w:t xml:space="preserve">  → Palletizer  (Micro850)</w:t>
            </w:r>
          </w:p>
          <w:p>
            <w:pPr>
              <w:spacing w:after="60" w:before="0"/>
            </w:pPr>
            <w:r>
              <w:rPr>
                <w:rFonts w:ascii="Arial" w:cs="Arial" w:eastAsia="Arial" w:hAnsi="Arial"/>
                <w:b w:val="false"/>
                <w:bCs w:val="false"/>
                <w:i w:val="false"/>
                <w:iCs w:val="false"/>
                <w:color w:val="1A1A1A"/>
                <w:sz w:val="16"/>
                <w:szCs w:val="16"/>
              </w:rPr>
              <w:t xml:space="preserve">  → PumpStation01  (IO-Link / EPIC)</w:t>
            </w:r>
          </w:p>
          <w:p>
            <w:pPr>
              <w:spacing w:after="30" w:before="0"/>
            </w:pPr>
            <w:r>
              <w:rPr>
                <w:rFonts w:ascii="Arial" w:cs="Arial" w:eastAsia="Arial" w:hAnsi="Arial"/>
                <w:b/>
                <w:bCs/>
                <w:i w:val="false"/>
                <w:iCs w:val="false"/>
                <w:color w:val="1F3864"/>
                <w:sz w:val="17"/>
                <w:szCs w:val="17"/>
              </w:rPr>
              <w:t xml:space="preserve">Site1_Wash_Process  (CompactLogix L24ER)</w:t>
            </w:r>
          </w:p>
          <w:p>
            <w:pPr>
              <w:spacing w:after="30" w:before="0"/>
            </w:pPr>
            <w:r>
              <w:rPr>
                <w:rFonts w:ascii="Arial" w:cs="Arial" w:eastAsia="Arial" w:hAnsi="Arial"/>
                <w:b/>
                <w:bCs/>
                <w:i w:val="false"/>
                <w:iCs w:val="false"/>
                <w:color w:val="1F3864"/>
                <w:sz w:val="17"/>
                <w:szCs w:val="17"/>
              </w:rPr>
              <w:t xml:space="preserve">Site1_Wash_Safety  (GuardLogix + Point I/O)</w:t>
            </w:r>
          </w:p>
          <w:p>
            <w:pPr>
              <w:spacing w:after="30" w:before="0"/>
            </w:pPr>
            <w:r>
              <w:rPr>
                <w:rFonts w:ascii="Arial" w:cs="Arial" w:eastAsia="Arial" w:hAnsi="Arial"/>
                <w:b/>
                <w:bCs/>
                <w:i w:val="false"/>
                <w:iCs w:val="false"/>
                <w:color w:val="1F3864"/>
                <w:sz w:val="17"/>
                <w:szCs w:val="17"/>
              </w:rPr>
              <w:t xml:space="preserve">Site1_Forming  (Beckhoff CX5120)</w:t>
            </w:r>
          </w:p>
          <w:p>
            <w:pPr>
              <w:spacing w:after="30" w:before="0"/>
            </w:pPr>
            <w:r>
              <w:rPr>
                <w:rFonts w:ascii="Arial" w:cs="Arial" w:eastAsia="Arial" w:hAnsi="Arial"/>
                <w:b/>
                <w:bCs/>
                <w:i w:val="false"/>
                <w:iCs w:val="false"/>
                <w:color w:val="1F3864"/>
                <w:sz w:val="17"/>
                <w:szCs w:val="17"/>
              </w:rPr>
              <w:t xml:space="preserve">Site1_Inspection  (S7-1200 #1 + ET200SP)</w:t>
            </w:r>
          </w:p>
          <w:p>
            <w:pPr>
              <w:spacing w:after="60" w:before="0"/>
            </w:pPr>
            <w:r>
              <w:rPr>
                <w:rFonts w:ascii="Arial" w:cs="Arial" w:eastAsia="Arial" w:hAnsi="Arial"/>
                <w:b/>
                <w:bCs/>
                <w:i w:val="false"/>
                <w:iCs w:val="false"/>
                <w:color w:val="1F3864"/>
                <w:sz w:val="17"/>
                <w:szCs w:val="17"/>
              </w:rPr>
              <w:t xml:space="preserve">Site1_Conveyor  (S7-1200 #2 + ET200SP)</w:t>
            </w:r>
          </w:p>
        </w:tc>
        <w:tc>
          <w:tcPr>
            <w:tcW w:type="dxa" w:w="468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80" w:before="60"/>
            </w:pPr>
            <w:r>
              <w:rPr>
                <w:rFonts w:ascii="Arial" w:cs="Arial" w:eastAsia="Arial" w:hAnsi="Arial"/>
                <w:b/>
                <w:bCs/>
                <w:i w:val="false"/>
                <w:iCs w:val="false"/>
                <w:color w:val="2E5FAB"/>
                <w:sz w:val="17"/>
                <w:szCs w:val="17"/>
              </w:rPr>
              <w:t xml:space="preserve">Site 2 — Remote Packaging Facility</w:t>
            </w:r>
          </w:p>
          <w:p>
            <w:pPr>
              <w:spacing w:after="30" w:before="0"/>
            </w:pPr>
            <w:r>
              <w:rPr>
                <w:rFonts w:ascii="Arial" w:cs="Arial" w:eastAsia="Arial" w:hAnsi="Arial"/>
                <w:b/>
                <w:bCs/>
                <w:i w:val="false"/>
                <w:iCs w:val="false"/>
                <w:color w:val="1F3864"/>
                <w:sz w:val="17"/>
                <w:szCs w:val="17"/>
              </w:rPr>
              <w:t xml:space="preserve">Site2_Packaging  (Wago PFC200 750-8206)</w:t>
            </w:r>
          </w:p>
          <w:p>
            <w:pPr>
              <w:spacing w:after="30" w:before="0"/>
            </w:pPr>
            <w:r>
              <w:rPr>
                <w:rFonts w:ascii="Arial" w:cs="Arial" w:eastAsia="Arial" w:hAnsi="Arial"/>
                <w:b w:val="false"/>
                <w:bCs w:val="false"/>
                <w:i w:val="false"/>
                <w:iCs w:val="false"/>
                <w:color w:val="1A1A1A"/>
                <w:sz w:val="16"/>
                <w:szCs w:val="16"/>
              </w:rPr>
              <w:t xml:space="preserve">  → Native Sparkplug B MQTT publish</w:t>
            </w:r>
          </w:p>
          <w:p>
            <w:pPr>
              <w:spacing w:after="30" w:before="0"/>
            </w:pPr>
            <w:r>
              <w:rPr>
                <w:rFonts w:ascii="Arial" w:cs="Arial" w:eastAsia="Arial" w:hAnsi="Arial"/>
                <w:b w:val="false"/>
                <w:bCs w:val="false"/>
                <w:i w:val="false"/>
                <w:iCs w:val="false"/>
                <w:color w:val="1A1A1A"/>
                <w:sz w:val="16"/>
                <w:szCs w:val="16"/>
              </w:rPr>
              <w:t xml:space="preserve">  → Packaging production data</w:t>
            </w:r>
          </w:p>
          <w:p>
            <w:pPr>
              <w:spacing w:after="60" w:before="0"/>
            </w:pPr>
            <w:r>
              <w:rPr>
                <w:rFonts w:ascii="Arial" w:cs="Arial" w:eastAsia="Arial" w:hAnsi="Arial"/>
                <w:b w:val="false"/>
                <w:bCs w:val="false"/>
                <w:i w:val="false"/>
                <w:iCs w:val="false"/>
                <w:color w:val="1A1A1A"/>
                <w:sz w:val="16"/>
                <w:szCs w:val="16"/>
              </w:rPr>
              <w:t xml:space="preserve">  → Cross-site part count reconciliation</w:t>
            </w:r>
          </w:p>
          <w:p>
            <w:pPr>
              <w:spacing w:after="30" w:before="0"/>
            </w:pPr>
            <w:r>
              <w:rPr>
                <w:rFonts w:ascii="Arial" w:cs="Arial" w:eastAsia="Arial" w:hAnsi="Arial"/>
                <w:b/>
                <w:bCs/>
                <w:i w:val="false"/>
                <w:iCs w:val="false"/>
                <w:color w:val="1F3864"/>
                <w:sz w:val="17"/>
                <w:szCs w:val="17"/>
              </w:rPr>
              <w:t xml:space="preserve">Broker Node  (Raspberry Pi 4B)</w:t>
            </w:r>
          </w:p>
          <w:p>
            <w:pPr>
              <w:spacing w:after="30" w:before="0"/>
            </w:pPr>
            <w:r>
              <w:rPr>
                <w:rFonts w:ascii="Arial" w:cs="Arial" w:eastAsia="Arial" w:hAnsi="Arial"/>
                <w:b w:val="false"/>
                <w:bCs w:val="false"/>
                <w:i w:val="false"/>
                <w:iCs w:val="false"/>
                <w:color w:val="1A1A1A"/>
                <w:sz w:val="16"/>
                <w:szCs w:val="16"/>
              </w:rPr>
              <w:t xml:space="preserve">  → Mosquitto 2.0.21</w:t>
            </w:r>
          </w:p>
          <w:p>
            <w:pPr>
              <w:spacing w:after="30" w:before="0"/>
            </w:pPr>
            <w:r>
              <w:rPr>
                <w:rFonts w:ascii="Arial" w:cs="Arial" w:eastAsia="Arial" w:hAnsi="Arial"/>
                <w:b w:val="false"/>
                <w:bCs w:val="false"/>
                <w:i w:val="false"/>
                <w:iCs w:val="false"/>
                <w:color w:val="1A1A1A"/>
                <w:sz w:val="16"/>
                <w:szCs w:val="16"/>
              </w:rPr>
              <w:t xml:space="preserve">  → Port 1883 — Sparkplug B transport</w:t>
            </w:r>
          </w:p>
          <w:p>
            <w:pPr>
              <w:spacing w:after="60" w:before="0"/>
            </w:pPr>
            <w:r>
              <w:rPr>
                <w:rFonts w:ascii="Arial" w:cs="Arial" w:eastAsia="Arial" w:hAnsi="Arial"/>
                <w:b w:val="false"/>
                <w:bCs w:val="false"/>
                <w:i w:val="false"/>
                <w:iCs w:val="false"/>
                <w:color w:val="1A1A1A"/>
                <w:sz w:val="16"/>
                <w:szCs w:val="16"/>
              </w:rPr>
              <w:t xml:space="preserve">  → Phoenix Contact DIN rail housing</w:t>
            </w:r>
          </w:p>
          <w:p>
            <w:pPr>
              <w:spacing w:after="30" w:before="0"/>
            </w:pPr>
            <w:r>
              <w:rPr>
                <w:rFonts w:ascii="Arial" w:cs="Arial" w:eastAsia="Arial" w:hAnsi="Arial"/>
                <w:b/>
                <w:bCs/>
                <w:i w:val="false"/>
                <w:iCs w:val="false"/>
                <w:color w:val="1F3864"/>
                <w:sz w:val="17"/>
                <w:szCs w:val="17"/>
              </w:rPr>
              <w:t xml:space="preserve">NAS Platform  (AOOSTAR WTR Max)</w:t>
            </w:r>
          </w:p>
          <w:p>
            <w:pPr>
              <w:spacing w:after="30" w:before="0"/>
            </w:pPr>
            <w:r>
              <w:rPr>
                <w:rFonts w:ascii="Arial" w:cs="Arial" w:eastAsia="Arial" w:hAnsi="Arial"/>
                <w:b w:val="false"/>
                <w:bCs w:val="false"/>
                <w:i w:val="false"/>
                <w:iCs w:val="false"/>
                <w:color w:val="1A1A1A"/>
                <w:sz w:val="16"/>
                <w:szCs w:val="16"/>
              </w:rPr>
              <w:t xml:space="preserve">  → Proxmox VE — LXC containers</w:t>
            </w:r>
          </w:p>
          <w:p>
            <w:pPr>
              <w:spacing w:after="60" w:before="0"/>
            </w:pPr>
            <w:r>
              <w:rPr>
                <w:rFonts w:ascii="Arial" w:cs="Arial" w:eastAsia="Arial" w:hAnsi="Arial"/>
                <w:b w:val="false"/>
                <w:bCs w:val="false"/>
                <w:i w:val="false"/>
                <w:iCs w:val="false"/>
                <w:color w:val="1A1A1A"/>
                <w:sz w:val="16"/>
                <w:szCs w:val="16"/>
              </w:rPr>
              <w:t xml:space="preserve">  → Ignition · Telegraf · InfluxDB · Grafana</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5.  </w:t>
            </w:r>
            <w:r>
              <w:rPr>
                <w:rFonts w:ascii="Arial" w:cs="Arial" w:eastAsia="Arial" w:hAnsi="Arial"/>
                <w:b/>
                <w:bCs/>
                <w:i w:val="false"/>
                <w:iCs w:val="false"/>
                <w:color w:val="FFFFFF"/>
                <w:sz w:val="22"/>
                <w:szCs w:val="22"/>
              </w:rPr>
              <w:t xml:space="preserve">SCOPE OF WORK</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5.1  Included in Scope</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Site survey and documentation of all production equipment, control platforms, network infrastructure, and communication protocols at both facilities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Installation and configuration of IIoT infrastructure — groov EPIC-PR1 edge controller, Raspberry Pi MQTT broker, AOOSTAR NAS / Proxmox platform</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Installation and configuration of protocol gateways — MGate EIP3170 for MicroLogix 1000 DF1 serial, MGate MB3170 for PowerFlex 4 Modbus RTU</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Network infrastructure assessment and VLAN segmentation for OT/IT separation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Node-RED flow development for all protocol bridging paths — EtherNet/IP, Modbus TCP, OPC-UA, DF1 via gateway, PROFINET via OPC-UA, native Sparkplug B</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ISA-95 two-tier tag naming standard applied to all data collection points across both sites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Sparkplug B Unified Namespace configuration and Mosquitto broker deployment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InfluxDB historian deployment — all machine data points, both sites, Telegraf as collection agent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Grafana dashboard development — machine detail views, site overview, cross-site production flow, OEE dashboard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Ignition SCADA deployment — MQTT Engine configuration, Perspective HMI screens, single calculation engine for all derived metrics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OEE calculation — Availability, Performance, Quality at machine and line level — calculated once in Ignition, published to broker</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Cross-site part tracking implementation replacing paper travelers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IO-Link smart sensor integration — IFM AL1590 8-port master — temperature, pressure, flow, and vibration sensors on pump station module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Three IO-Link integration patterns demonstrated — edge device non-invasive via EPIC, direct EtherNet/IP via CompactLogix, direct PROFINET via S7-1200</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MaintainX CMMS integration — REST API — automated work order generation on sensor threshold breach — predictive maintenance demonstrated end to end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WireGuard VPN configuration — GL.iNet router — secure remote access to dashboards and SCADA without cloud dependency</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Operator and maintenance staff training on dashboard and data access tools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Project documentation — as-built network diagrams, tag register, Node-RED flow documentation, architecture decision records, operations manual</w:t>
      </w:r>
    </w:p>
    <w:p>
      <w:pPr>
        <w:spacing w:after="0" w:before="16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5.2  Excluded from Scope</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Modification of any existing PLC control programs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Hardware replacement or repair of existing production equipment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ERP or MES system integration — data infrastructure only in this phase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Cybersecurity hardening beyond basic OT/IT network segmentation and VPN access control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Cloud connectivity or off-premises data hosting</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Mobile device management beyond tablet HMI access</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6.  </w:t>
            </w:r>
            <w:r>
              <w:rPr>
                <w:rFonts w:ascii="Arial" w:cs="Arial" w:eastAsia="Arial" w:hAnsi="Arial"/>
                <w:b/>
                <w:bCs/>
                <w:i w:val="false"/>
                <w:iCs w:val="false"/>
                <w:color w:val="FFFFFF"/>
                <w:sz w:val="22"/>
                <w:szCs w:val="22"/>
              </w:rPr>
              <w:t xml:space="preserve">IMPLEMENTATION PLAN</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The project is organized into six phases. Each phase is fully operational before the next phase begins. No phase introduces risk to production operations. Hardware and software additions are additive — nothing is removed or replaced between phases.</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2000"/>
        <w:gridCol w:w="3560"/>
        <w:gridCol w:w="3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Phase</w:t>
            </w:r>
          </w:p>
        </w:tc>
        <w:tc>
          <w:tcPr>
            <w:tcW w:type="dxa" w:w="2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Focus</w:t>
            </w:r>
          </w:p>
        </w:tc>
        <w:tc>
          <w:tcPr>
            <w:tcW w:type="dxa" w:w="3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Key Deliverables</w:t>
            </w:r>
          </w:p>
        </w:tc>
        <w:tc>
          <w:tcPr>
            <w:tcW w:type="dxa" w:w="3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Demonstration Value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Controllers programmed — simulation running — data to UNS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commissioned and programmed. Simulated production routines running on all platforms. All data publishing ISA-95 named Sparkplug B metrics to Unified Namespace via Mosquitto broker.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Multi-platform IIoT integration across 5 vendors and 14 protocols. Complete OT data layer operational.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Dashboards and historian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dashboards built for all machines and both sites. InfluxDB historian accumulating shift and production data. OEE visible in real time. Basic reporting and trend visualization operational.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data infrastructure operational. Live OEE, downtime trending, shift reporting, and cross-site production visibility demonstrated end to end.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Two-rack split — OT rack and IIoT rack</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Hardware redistributed into two separate rack frames. OT rack contains all PLC controllers, drives, gateways, and operator panel. IIoT rack contains EPIC, broker, NAS, switches, and Wago. Same width — all hardware transfers directly.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Professional visual presentation for demonstrations. Physical separation reinforces architectural separation of OT and IIoT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IO-Link smart sensors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IFM AL1590 IO-Link master added. Temperature, pressure, flow, and vibration sensors on pump module. Sensor data publishing to UNS alongside PLC simulation data. Three simultaneous integration patterns demonstrated.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Non-invasive smart sensor integration demonstrated physically. Brownfield augmentation value proposition made tangible without any program modification.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CMMS — predictive maintenance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CMMS connected to IIoT data infrastructure. Alarm thresholds configured on sensor data. Threshold events automatically generate work orders in MaintainX. Maintenance technician notification demonstrated end to end.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Data driving maintenance action. Complete predictive maintenance workflow from sensor anomaly through automatic work order to technician notification.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Remote access and multi-site demonstration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WireGuard VPN configured on GL.iNet router. Dashboards and SCADA accessible remotely via secure tunnel. Webcam on OT rack providing live visual feed. IIoT rack portable for on-site demonstrations.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Multi-site architecture demonstrated as a working implementation. Plant floor data visible in real time from any location without cloud dependency.</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7.  </w:t>
            </w:r>
            <w:r>
              <w:rPr>
                <w:rFonts w:ascii="Arial" w:cs="Arial" w:eastAsia="Arial" w:hAnsi="Arial"/>
                <w:b/>
                <w:bCs/>
                <w:i w:val="false"/>
                <w:iCs w:val="false"/>
                <w:color w:val="FFFFFF"/>
                <w:sz w:val="22"/>
                <w:szCs w:val="22"/>
              </w:rPr>
              <w:t xml:space="preserve">PROPOSED SOLUTION HARDWARE &amp; SOFTWARE</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7.1  IIoT Infrastructure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Component</w:t>
            </w:r>
          </w:p>
        </w:tc>
        <w:tc>
          <w:tcPr>
            <w:tcW w:type="dxa" w:w="3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Role</w:t>
            </w:r>
          </w:p>
        </w:tc>
        <w:tc>
          <w:tcPr>
            <w:tcW w:type="dxa" w:w="3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Location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EPIC-PR1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line supervisor · Node-RED protocol bridging · groov View HMI · Ignition Edge OPC-UA server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Raspberry Pi 4B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Dedicated Mosquitto MQTT broker — Unified Namespace transport spine — Phoenix Contact DIN rail housing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AOOSTAR WTR Max</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Proxmox VE hypervisor — LXC containers for Ignition, Telegraf, InfluxDB, Grafana, Node-RED — VM hosting for licensed software — 32GB DDR5 — 5x NVMe — 2.5GbE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 adjacent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Moxa MGate EIP3170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MicroLogix 1000 DF1 serial to EtherNet/IP bridge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Moxa MGate MB3170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drives Modbus RTU to Modbus TCP bridge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IFM AL1590 IO-Link Master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8-port IO-Link master — OPC-UA · PROFINET · EtherNet/IP multiprotocol — integrated Node-RED — temperature, pressure, flow, vibration sensors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Pump module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Cisco SG300-28PP-K9</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28-port GbE managed switch — 802.3at PoE+ — VLAN capable — OT network segmentation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GL.iNet Beryl AX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WireGuard VPN router — secure remote access — Phase 6 multi-site demonstration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Samsung Galaxy Tab</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Perspective thin client — WiFi — mobile operator HMI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floor</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7.2  Software Stack</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Software</w:t>
            </w:r>
          </w:p>
        </w:tc>
        <w:tc>
          <w:tcPr>
            <w:tcW w:type="dxa" w:w="4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Function</w:t>
            </w:r>
          </w:p>
        </w:tc>
        <w:tc>
          <w:tcPr>
            <w:tcW w:type="dxa" w:w="2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Mosquitto 2.0.21</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MQTT broker — Unified Namespace transport spine — Sparkplug 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Node-RED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bridging · data contextualization · shift management · MaintainX API flows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SCADA</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UNS intelligence layer · sole calculation engine · MQTT Engine · Perspective HMI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Licensed — Maker Edition for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Broker-to-historian bridge — subscribes all topics — writes to InfluxDB — timestamps 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InfluxDB OSS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Time series historian — single source of historical truth — all raw and derived data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OSS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Read-only visualization — queries InfluxDB only — OEE · trends · shift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CMMS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Computerized maintenance management — REST API — automated work order generation on sensor threshold breach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tier — sufficient for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WireGuard VPN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Secure remote access tunnel — GL.iNet native — no cloud dependency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8.  </w:t>
            </w:r>
            <w:r>
              <w:rPr>
                <w:rFonts w:ascii="Arial" w:cs="Arial" w:eastAsia="Arial" w:hAnsi="Arial"/>
                <w:b/>
                <w:bCs/>
                <w:i w:val="false"/>
                <w:iCs w:val="false"/>
                <w:color w:val="FFFFFF"/>
                <w:sz w:val="22"/>
                <w:szCs w:val="22"/>
              </w:rPr>
              <w:t xml:space="preserve">ASSUMPTIONS &amp; DEPENDENCIES</w:t>
            </w:r>
          </w:p>
        </w:tc>
      </w:tr>
    </w:tbl>
    <w:p>
      <w:pPr>
        <w:spacing w:after="0" w:before="20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Existing PLC programs are functional and production equipment is operational at project start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A network link between Site 1 and Site 2 is available or will be established prior to Phase 1 completion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PLC program source files are available for tag identification — online monitoring acceptable if source files unavailable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Management authorization is in place for all proposed infrastructure changes prior to project start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Production schedules allow brief maintenance windows for edge device installation without equipment shutdown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IO-Link sensor baseline values will be established during Phase 4 commissioning before MaintainX thresholds are configured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MaintainX API key will be generated and stored securely — not documented in any project file</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9.  </w:t>
            </w:r>
            <w:r>
              <w:rPr>
                <w:rFonts w:ascii="Arial" w:cs="Arial" w:eastAsia="Arial" w:hAnsi="Arial"/>
                <w:b/>
                <w:bCs/>
                <w:i w:val="false"/>
                <w:iCs w:val="false"/>
                <w:color w:val="FFFFFF"/>
                <w:sz w:val="22"/>
                <w:szCs w:val="22"/>
              </w:rPr>
              <w:t xml:space="preserve">RISK REGISTER</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1200"/>
        <w:gridCol w:w="3360"/>
        <w:gridCol w:w="2400"/>
      </w:tblGrid>
      <w:tr>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Risk</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Likelihood</w:t>
            </w:r>
          </w:p>
        </w:tc>
        <w:tc>
          <w:tcPr>
            <w:tcW w:type="dxa" w:w="3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Impact and Mitigation</w:t>
            </w:r>
          </w:p>
        </w:tc>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Owner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MicroLogix 1000 DF1 serial gateway complexity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MGate EIP3170 specifically designed for this scenario. Gateway configuration well documented. Allow additional time in Phase 1 for legacy integration.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PLC program source files unavailable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Online tag monitoring via OPC-UA or Modbus register scanning can identify data points without source files. Online discovery process documented in project methodology.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Wago PFC200 v1 software environment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e!COCKPIT discontinued. VM-based trial isolation planned. If software unavailable, EPIC Node-RED reads Wago via Modbus TCP and republishes as Sparkplug B. Fallback path documented.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IO-Link sensor baseline establishment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Pump module must run at normal conditions before thresholds can be set. Allow commissioning time for baseline capture before MaintainX integration is configured.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2 network link reliability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Low</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MQTT is extremely low bandwidth by design. A 10Mbps link is more than sufficient. Assess existing link quality in Phase 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resistance to new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Training program includes hands-on dashboard use. Paper travelers retained in parallel during Phase 3 transition. Operator involvement in dashboard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Plant Management</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10.  </w:t>
            </w:r>
            <w:r>
              <w:rPr>
                <w:rFonts w:ascii="Arial" w:cs="Arial" w:eastAsia="Arial" w:hAnsi="Arial"/>
                <w:b/>
                <w:bCs/>
                <w:i w:val="false"/>
                <w:iCs w:val="false"/>
                <w:color w:val="FFFFFF"/>
                <w:sz w:val="22"/>
                <w:szCs w:val="22"/>
              </w:rPr>
              <w:t xml:space="preserve">DOCUMENT INFORMATION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Modernization — Project Scope of Work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Loogootee Mfg., Inc. — Training 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Prepared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 — Loogootee Mfg. Training Simulation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 — Revised April 2026</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Training Simulation — Not for Distribution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github.com/JeremySField/loogootee-mfg-training-simulation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Related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Architecture Decision Record Rev 0.1 · IIoT Data Layer Architecture Rev 0.2 · Rack Phased Development Plan Rev 1.0 · NAS Implementation Rev 0.1 · IO-Link Pump Module Concept Rev 0.2 · MaintainX Implementation Concept Rev 0.1</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Revision History</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1400"/>
        <w:gridCol w:w="2200"/>
        <w:gridCol w:w="4760"/>
      </w:tblGrid>
      <w:tr>
        <w:tc>
          <w:tcPr>
            <w:tcW w:type="dxa" w:w="1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Rev</w:t>
            </w:r>
          </w:p>
        </w:tc>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Date</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Description</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March 2026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Initial release. Four-phase plan. Site 2 assigned three Siemens S7-1200 units.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Revised controller assignments — Wago PFC200 as Site 2 controller, S7-1200 units reassigned to Site 1 Inspection and Conveyor roles. Updated to six-phase development plan. Added IO-Link smart sensor scope, MaintainX CMMS integration, WireGuard VPN. Updated IIoT server to AOOSTAR NAS / Proxmox. Added IFM AL1590 and GL.iNet to hardware table. Added Telegraf and MaintainX to software stack. UNS hierarchy updated to reflect finalized architecture decisions. Removed Senior Automation Technician title from header. Risk register updated to include Wago software environment risk.</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Version 1.1  ·  April 2026</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tabs>
        <w:tab w:val="right" w:pos="9360"/>
      </w:tabs>
      <w:spacing w:after="120" w:before="0"/>
    </w:pPr>
    <w:r>
      <w:rPr>
        <w:rFonts w:ascii="Arial" w:cs="Arial" w:eastAsia="Arial" w:hAnsi="Arial"/>
        <w:b w:val="false"/>
        <w:bCs w:val="false"/>
        <w:i w:val="false"/>
        <w:iCs w:val="false"/>
        <w:color w:val="445566"/>
        <w:sz w:val="16"/>
        <w:szCs w:val="16"/>
      </w:rPr>
      <w:t xml:space="preserve">LOOGOOTEE MFG. — TRAINING SIMULATION</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IIoT MODERNIZATION — PROJECT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2026-04-17T19:34:03.838Z</dcterms:created>
  <dcterms:modified xsi:type="dcterms:W3CDTF">2026-04-17T19:34:03.839Z</dcterms:modified>
</cp:coreProperties>
</file>

<file path=docProps/custom.xml><?xml version="1.0" encoding="utf-8"?>
<Properties xmlns="http://schemas.openxmlformats.org/officeDocument/2006/custom-properties" xmlns:vt="http://schemas.openxmlformats.org/officeDocument/2006/docPropsVTypes"/>
</file>