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600"/>
              <w:left w:type="dxa" w:w="480"/>
              <w:bottom w:type="dxa" w:w="600"/>
              <w:right w:type="dxa" w:w="480"/>
            </w:tcMar>
          </w:tcPr>
          <w:p>
            <w:pPr>
              <w:spacing w:after="100" w:before="80"/>
            </w:pPr>
            <w:r>
              <w:rPr>
                <w:rFonts w:ascii="Arial" w:cs="Arial" w:eastAsia="Arial" w:hAnsi="Arial"/>
                <w:b w:val="false"/>
                <w:bCs w:val="false"/>
                <w:i w:val="false"/>
                <w:iCs w:val="false"/>
                <w:color w:val="00ACC1"/>
                <w:sz w:val="20"/>
                <w:szCs w:val="20"/>
              </w:rPr>
              <w:t xml:space="preserve">LOOGOOTEE MFG. — TRAINING SIMULATION</w:t>
            </w:r>
          </w:p>
          <w:p>
            <w:pPr>
              <w:spacing w:after="40" w:before="80"/>
            </w:pPr>
            <w:r>
              <w:rPr>
                <w:rFonts w:ascii="Arial" w:cs="Arial" w:eastAsia="Arial" w:hAnsi="Arial"/>
                <w:b/>
                <w:bCs/>
                <w:i w:val="false"/>
                <w:iCs w:val="false"/>
                <w:color w:val="FFFFFF"/>
                <w:sz w:val="44"/>
                <w:szCs w:val="44"/>
              </w:rPr>
              <w:t xml:space="preserve">Phased Development Plan</w:t>
            </w:r>
          </w:p>
          <w:p>
            <w:pPr>
              <w:spacing w:after="180" w:before="0"/>
            </w:pPr>
            <w:r>
              <w:rPr>
                <w:rFonts w:ascii="Arial" w:cs="Arial" w:eastAsia="Arial" w:hAnsi="Arial"/>
                <w:b/>
                <w:bCs/>
                <w:i w:val="false"/>
                <w:iCs w:val="false"/>
                <w:color w:val="7799CC"/>
                <w:sz w:val="26"/>
                <w:szCs w:val="26"/>
              </w:rPr>
              <w:t xml:space="preserve">Phase-Gated Execution with Gate Entry Criteria</w:t>
            </w:r>
          </w:p>
          <w:p>
            <w:pPr>
              <w:pBdr>
                <w:bottom w:val="single" w:color="4477AA" w:sz="2" w:space="1"/>
              </w:pBdr>
              <w:spacing w:after="0" w:before="0"/>
            </w:pPr>
            <w:r>
              <w:t xml:space="preserve"/>
            </w:r>
          </w:p>
          <w:p>
            <w:pPr>
              <w:spacing w:after="40" w:before="120"/>
            </w:pPr>
            <w:r>
              <w:rPr>
                <w:rFonts w:ascii="Arial" w:cs="Arial" w:eastAsia="Arial" w:hAnsi="Arial"/>
                <w:b w:val="false"/>
                <w:bCs w:val="false"/>
                <w:i/>
                <w:iCs/>
                <w:color w:val="00ACC1"/>
                <w:sz w:val="18"/>
                <w:szCs w:val="18"/>
              </w:rPr>
              <w:t xml:space="preserve">Jeremy Field  ·  Senior Automation Technician  ·  April 2026</w:t>
            </w:r>
          </w:p>
          <w:p>
            <w:pPr>
              <w:spacing w:after="80" w:before="80"/>
            </w:pPr>
            <w:r>
              <w:rPr>
                <w:rFonts w:ascii="Arial" w:cs="Arial" w:eastAsia="Arial" w:hAnsi="Arial"/>
                <w:b w:val="false"/>
                <w:bCs w:val="false"/>
                <w:i/>
                <w:iCs/>
                <w:color w:val="445566"/>
                <w:sz w:val="16"/>
                <w:szCs w:val="16"/>
              </w:rPr>
              <w:t xml:space="preserve">Document Version 1.2  ·  Living Document — Updated at Each Phase Completion</w:t>
            </w:r>
          </w:p>
        </w:tc>
      </w:tr>
    </w:tbl>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240"/>
              <w:bottom w:type="dxa" w:w="100"/>
              <w:right w:type="dxa" w:w="240"/>
            </w:tcMar>
          </w:tcPr>
          <w:p>
            <w:pPr>
              <w:spacing w:after="60" w:before="60"/>
            </w:pPr>
            <w:r>
              <w:rPr>
                <w:rFonts w:ascii="Arial" w:cs="Arial" w:eastAsia="Arial" w:hAnsi="Arial"/>
                <w:b/>
                <w:bCs/>
                <w:i w:val="false"/>
                <w:iCs w:val="false"/>
                <w:color w:val="00ACC1"/>
                <w:sz w:val="22"/>
                <w:szCs w:val="22"/>
              </w:rPr>
              <w:t xml:space="preserve">1.  </w:t>
            </w:r>
            <w:r>
              <w:rPr>
                <w:rFonts w:ascii="Arial" w:cs="Arial" w:eastAsia="Arial" w:hAnsi="Arial"/>
                <w:b/>
                <w:bCs/>
                <w:i w:val="false"/>
                <w:iCs w:val="false"/>
                <w:color w:val="FFFFFF"/>
                <w:sz w:val="22"/>
                <w:szCs w:val="22"/>
              </w:rPr>
              <w:t xml:space="preserve">PROJECT OVERVIEW</w:t>
            </w:r>
          </w:p>
        </w:tc>
      </w:tr>
    </w:tbl>
    <w:p>
      <w:pPr>
        <w:spacing w:after="0" w:before="200"/>
      </w:pPr>
      <w:r>
        <w:t xml:space="preserve"/>
      </w:r>
    </w:p>
    <w:p>
      <w:pPr>
        <w:spacing w:after="120" w:before="0" w:line="320"/>
      </w:pPr>
      <w:r>
        <w:rPr>
          <w:rFonts w:ascii="Arial" w:cs="Arial" w:eastAsia="Arial" w:hAnsi="Arial"/>
          <w:b w:val="false"/>
          <w:bCs w:val="false"/>
          <w:i w:val="false"/>
          <w:iCs w:val="false"/>
          <w:color w:val="1A1A1A"/>
          <w:sz w:val="19"/>
          <w:szCs w:val="19"/>
        </w:rPr>
        <w:t xml:space="preserve">The 42U Multi-Platform Training Rack is a purpose-built industrial automation and IIoT integration training and demonstration platform. It simulates a two-site precision metal stamping manufacturing operation — Loogootee Manufacturing, Inc. — running 11 controllers across 5 vendors, 13 communication protocols, and a complete IIoT data stack publishing real-time production data to a Unified Namespace.</w:t>
      </w:r>
    </w:p>
    <w:p>
      <w:pPr>
        <w:spacing w:after="120" w:before="0" w:line="320"/>
      </w:pPr>
      <w:r>
        <w:rPr>
          <w:rFonts w:ascii="Arial" w:cs="Arial" w:eastAsia="Arial" w:hAnsi="Arial"/>
          <w:b w:val="false"/>
          <w:bCs w:val="false"/>
          <w:i w:val="false"/>
          <w:iCs w:val="false"/>
          <w:color w:val="1A1A1A"/>
          <w:sz w:val="19"/>
          <w:szCs w:val="19"/>
        </w:rPr>
        <w:t xml:space="preserve">The rack serves four concurrent purposes: multi-platform PLC programming proficiency development, IIoT architecture validation, professional portfolio demonstration, and YouTube tutorial content production. It is designed to evolve through eight defined phases, each adding capability without disrupting what was built in the phases before it.</w:t>
      </w:r>
    </w:p>
    <w:p>
      <w:pPr>
        <w:spacing w:after="120" w:before="0" w:line="320"/>
      </w:pPr>
      <w:r>
        <w:rPr>
          <w:rFonts w:ascii="Arial" w:cs="Arial" w:eastAsia="Arial" w:hAnsi="Arial"/>
          <w:b w:val="false"/>
          <w:bCs w:val="false"/>
          <w:i w:val="false"/>
          <w:iCs w:val="false"/>
          <w:color w:val="1A1A1A"/>
          <w:sz w:val="19"/>
          <w:szCs w:val="19"/>
        </w:rPr>
        <w:t xml:space="preserve">The build philosophy mirrors the practice methodology it demonstrates — deliberate, documented, executed in phases, and designed from the start for the person who has to operate and maintain it after the builder has moved on. In this case, that person is also the builder.</w:t>
      </w:r>
    </w:p>
    <w:p>
      <w:pPr>
        <w:spacing w:after="0" w:before="120"/>
      </w:pPr>
      <w:r>
        <w:t xml:space="preserve"/>
      </w:r>
    </w:p>
    <w:p>
      <w:pPr>
        <w:spacing w:after="120" w:before="0" w:line="320"/>
      </w:pPr>
      <w:r>
        <w:rPr>
          <w:rFonts w:ascii="Arial" w:cs="Arial" w:eastAsia="Arial" w:hAnsi="Arial"/>
          <w:b w:val="false"/>
          <w:bCs w:val="false"/>
          <w:i w:val="false"/>
          <w:iCs w:val="false"/>
          <w:color w:val="1A1A1A"/>
          <w:sz w:val="19"/>
          <w:szCs w:val="19"/>
        </w:rPr>
        <w:t xml:space="preserve">The project is executed under a phase-gated discipline. Each phase has a defined name, purpose, and set of measurable gate entry criteria that must be satisfied before the next phase is authorized to begin. No phase commences before the preceding gate is passed. Gate passage is documented in the project record. The final gate — G7 Independence Validation and Project Closeout — requires a colleague with no prior knowledge of the build to successfully extend the system using only the project documentation, without integrator assistance.</w:t>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240"/>
              <w:bottom w:type="dxa" w:w="100"/>
              <w:right w:type="dxa" w:w="240"/>
            </w:tcMar>
          </w:tcPr>
          <w:p>
            <w:pPr>
              <w:spacing w:after="60" w:before="60"/>
            </w:pPr>
            <w:r>
              <w:rPr>
                <w:rFonts w:ascii="Arial" w:cs="Arial" w:eastAsia="Arial" w:hAnsi="Arial"/>
                <w:b/>
                <w:bCs/>
                <w:i w:val="false"/>
                <w:iCs w:val="false"/>
                <w:color w:val="00ACC1"/>
                <w:sz w:val="22"/>
                <w:szCs w:val="22"/>
              </w:rPr>
              <w:t xml:space="preserve">2.  </w:t>
            </w:r>
            <w:r>
              <w:rPr>
                <w:rFonts w:ascii="Arial" w:cs="Arial" w:eastAsia="Arial" w:hAnsi="Arial"/>
                <w:b/>
                <w:bCs/>
                <w:i w:val="false"/>
                <w:iCs w:val="false"/>
                <w:color w:val="FFFFFF"/>
                <w:sz w:val="22"/>
                <w:szCs w:val="22"/>
              </w:rPr>
              <w:t xml:space="preserve">PLATFORM SUMMARY</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Controllers</w:t>
            </w:r>
          </w:p>
        </w:tc>
        <w:tc>
          <w:tcPr>
            <w:tcW w:type="dxa" w:w="234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Protocols</w:t>
            </w:r>
          </w:p>
        </w:tc>
        <w:tc>
          <w:tcPr>
            <w:tcW w:type="dxa" w:w="234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Vendors</w:t>
            </w:r>
          </w:p>
        </w:tc>
        <w:tc>
          <w:tcPr>
            <w:tcW w:type="dxa" w:w="234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IIoT Stack</w:t>
            </w:r>
          </w:p>
        </w:tc>
      </w:tr>
      <w:tr>
        <w:tc>
          <w:tcPr>
            <w:tcW w:type="dxa" w:w="234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11 controllers</w:t>
            </w:r>
          </w:p>
        </w:tc>
        <w:tc>
          <w:tcPr>
            <w:tcW w:type="dxa" w:w="234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EtherNet/IP</w:t>
            </w:r>
          </w:p>
        </w:tc>
        <w:tc>
          <w:tcPr>
            <w:tcW w:type="dxa" w:w="234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Allen-Bradley</w:t>
            </w:r>
          </w:p>
        </w:tc>
        <w:tc>
          <w:tcPr>
            <w:tcW w:type="dxa" w:w="234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Mosquitto MQTT broker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5 Allen-Bradley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PROFINET / PROFIBUS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Siemens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Node-RED protocol bridging</w:t>
            </w:r>
          </w:p>
        </w:tc>
      </w:tr>
      <w:tr>
        <w:tc>
          <w:tcPr>
            <w:tcW w:type="dxa" w:w="234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2 Siemens</w:t>
            </w:r>
          </w:p>
        </w:tc>
        <w:tc>
          <w:tcPr>
            <w:tcW w:type="dxa" w:w="234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Modbus TCP / RTU</w:t>
            </w:r>
          </w:p>
        </w:tc>
        <w:tc>
          <w:tcPr>
            <w:tcW w:type="dxa" w:w="234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Beckhoff</w:t>
            </w:r>
          </w:p>
        </w:tc>
        <w:tc>
          <w:tcPr>
            <w:tcW w:type="dxa" w:w="234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Telegraf broker-to-historian bridge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1 Beckhoff</w:t>
            </w:r>
          </w:p>
        </w:tc>
        <w:tc>
          <w:tcPr>
            <w:tcW w:type="dxa" w:w="23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OPC-UA</w:t>
            </w:r>
          </w:p>
        </w:tc>
        <w:tc>
          <w:tcPr>
            <w:tcW w:type="dxa" w:w="23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Opto22</w:t>
            </w:r>
          </w:p>
        </w:tc>
        <w:tc>
          <w:tcPr>
            <w:tcW w:type="dxa" w:w="23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InfluxDB time series historian</w:t>
            </w:r>
          </w:p>
        </w:tc>
      </w:tr>
      <w:tr>
        <w:tc>
          <w:tcPr>
            <w:tcW w:type="dxa" w:w="234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1 Opto22</w:t>
            </w:r>
          </w:p>
        </w:tc>
        <w:tc>
          <w:tcPr>
            <w:tcW w:type="dxa" w:w="234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EtherCAT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Wago</w:t>
            </w:r>
          </w:p>
        </w:tc>
        <w:tc>
          <w:tcPr>
            <w:tcW w:type="dxa" w:w="234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Grafana dashboards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1 Wago</w:t>
            </w:r>
          </w:p>
        </w:tc>
        <w:tc>
          <w:tcPr>
            <w:tcW w:type="dxa" w:w="23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DF1 · DH-485 · CIP Safety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
            </w:r>
          </w:p>
        </w:tc>
        <w:tc>
          <w:tcPr>
            <w:tcW w:type="dxa" w:w="23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Ignition SCADA</w:t>
            </w:r>
          </w:p>
        </w:tc>
      </w:tr>
      <w:tr>
        <w:tc>
          <w:tcPr>
            <w:tcW w:type="dxa" w:w="234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1 Raspberry Pi</w:t>
            </w:r>
          </w:p>
        </w:tc>
        <w:tc>
          <w:tcPr>
            <w:tcW w:type="dxa" w:w="234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S7 PUT/GET · MQTT · Sparkplug B · IO-Link</w:t>
            </w:r>
          </w:p>
        </w:tc>
        <w:tc>
          <w:tcPr>
            <w:tcW w:type="dxa" w:w="234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
            </w:r>
          </w:p>
        </w:tc>
        <w:tc>
          <w:tcPr>
            <w:tcW w:type="dxa" w:w="234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Sparkplug B / UNS · ISA-95</w:t>
            </w:r>
          </w:p>
        </w:tc>
      </w:tr>
    </w:tbl>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240"/>
              <w:bottom w:type="dxa" w:w="100"/>
              <w:right w:type="dxa" w:w="240"/>
            </w:tcMar>
          </w:tcPr>
          <w:p>
            <w:pPr>
              <w:spacing w:after="60" w:before="60"/>
            </w:pPr>
            <w:r>
              <w:rPr>
                <w:rFonts w:ascii="Arial" w:cs="Arial" w:eastAsia="Arial" w:hAnsi="Arial"/>
                <w:b/>
                <w:bCs/>
                <w:i w:val="false"/>
                <w:iCs w:val="false"/>
                <w:color w:val="00ACC1"/>
                <w:sz w:val="22"/>
                <w:szCs w:val="22"/>
              </w:rPr>
              <w:t xml:space="preserve">3.  </w:t>
            </w:r>
            <w:r>
              <w:rPr>
                <w:rFonts w:ascii="Arial" w:cs="Arial" w:eastAsia="Arial" w:hAnsi="Arial"/>
                <w:b/>
                <w:bCs/>
                <w:i w:val="false"/>
                <w:iCs w:val="false"/>
                <w:color w:val="FFFFFF"/>
                <w:sz w:val="22"/>
                <w:szCs w:val="22"/>
              </w:rPr>
              <w:t xml:space="preserve">PHASE OVERVIEW</w:t>
            </w:r>
          </w:p>
        </w:tc>
      </w:tr>
    </w:tbl>
    <w:p>
      <w:pPr>
        <w:spacing w:after="0" w:before="200"/>
      </w:pPr>
      <w:r>
        <w:t xml:space="preserve"/>
      </w:r>
    </w:p>
    <w:p>
      <w:pPr>
        <w:spacing w:after="120" w:before="0" w:line="320"/>
      </w:pPr>
      <w:r>
        <w:rPr>
          <w:rFonts w:ascii="Arial" w:cs="Arial" w:eastAsia="Arial" w:hAnsi="Arial"/>
          <w:b w:val="false"/>
          <w:bCs w:val="false"/>
          <w:i w:val="false"/>
          <w:iCs w:val="false"/>
          <w:color w:val="1A1A1A"/>
          <w:sz w:val="19"/>
          <w:szCs w:val="19"/>
        </w:rPr>
        <w:t xml:space="preserve">Each phase is complete and stable before the next phase begins. No phase introduces risk to the capability established in previous phases. Hardware and software additions are additive — nothing is removed or replaced between phases.</w:t>
      </w:r>
    </w:p>
    <w:p>
      <w:pPr>
        <w:spacing w:after="0" w:before="14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2600"/>
        <w:gridCol w:w="3560"/>
        <w:gridCol w:w="2400"/>
      </w:tblGrid>
      <w:tr>
        <w:tc>
          <w:tcPr>
            <w:tcW w:type="dxa" w:w="8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Gate</w:t>
            </w:r>
          </w:p>
        </w:tc>
        <w:tc>
          <w:tcPr>
            <w:tcW w:type="dxa" w:w="26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Phase Name</w:t>
            </w:r>
          </w:p>
        </w:tc>
        <w:tc>
          <w:tcPr>
            <w:tcW w:type="dxa" w:w="356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Key Deliverable</w:t>
            </w:r>
          </w:p>
        </w:tc>
        <w:tc>
          <w:tcPr>
            <w:tcW w:type="dxa" w:w="24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Demonstration Value</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G0</w:t>
            </w:r>
          </w:p>
        </w:tc>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Project Initiation and Architecture Definition</w:t>
            </w:r>
          </w:p>
        </w:tc>
        <w:tc>
          <w:tcPr>
            <w:tcW w:type="dxa" w:w="35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Foundation confirmed — scope, architecture, documentation, version control</w:t>
            </w:r>
          </w:p>
        </w:tc>
        <w:tc>
          <w:tcPr>
            <w:tcW w:type="dxa" w:w="2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All architectural decisions documented and defensible before programming begins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G1</w:t>
            </w:r>
          </w:p>
        </w:tc>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Controller Commissioning and UNS Integration</w:t>
            </w:r>
          </w:p>
        </w:tc>
        <w:tc>
          <w:tcPr>
            <w:tcW w:type="dxa" w:w="3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All 11 controllers programmed, simulation running, all data verified to broker</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Multi-platform IIoT integration across 5 vendors and 13 protocols. Complete OT data layer operational.</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G2</w:t>
            </w:r>
          </w:p>
        </w:tc>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IIoT Stack Deployment and Network Security</w:t>
            </w:r>
          </w:p>
        </w:tc>
        <w:tc>
          <w:tcPr>
            <w:tcW w:type="dxa" w:w="35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NAS commissioned, full stack running, Tailscale configured, security zones verified</w:t>
            </w:r>
          </w:p>
        </w:tc>
        <w:tc>
          <w:tcPr>
            <w:tcW w:type="dxa" w:w="2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Complete OT/IIoT operational capability. Secure remote access. No public IP exposure.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G3</w:t>
            </w:r>
          </w:p>
        </w:tc>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Production Visibility and Historian</w:t>
            </w:r>
          </w:p>
        </w:tc>
        <w:tc>
          <w:tcPr>
            <w:tcW w:type="dxa" w:w="3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Grafana dashboards, OEE real time, InfluxDB accumulating, shift reporting operational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Live OEE, downtime trending, shift reporting, cross-site visibility demonstrated end to end.</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G4</w:t>
            </w:r>
          </w:p>
        </w:tc>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Physical System Expansion and UNS Extensibility</w:t>
            </w:r>
          </w:p>
        </w:tc>
        <w:tc>
          <w:tcPr>
            <w:tcW w:type="dxa" w:w="35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Operator panel rack commissioned, new equipment publishing to UNS without reconfiguration</w:t>
            </w:r>
          </w:p>
        </w:tc>
        <w:tc>
          <w:tcPr>
            <w:tcW w:type="dxa" w:w="2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New equipment adds to live system without touching existing architecture. UNS extensibility demonstrated physically.</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G5</w:t>
            </w:r>
          </w:p>
        </w:tc>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IO-Link Smart Sensors and Process Integration</w:t>
            </w:r>
          </w:p>
        </w:tc>
        <w:tc>
          <w:tcPr>
            <w:tcW w:type="dxa" w:w="3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Four sensors operational, baseline established, three integration patterns confirmed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Real process physics. Three simultaneous IO-Link integration patterns on one physical asset.</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G6</w:t>
            </w:r>
          </w:p>
        </w:tc>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Predictive Maintenance and Remote Demonstration</w:t>
            </w:r>
          </w:p>
        </w:tc>
        <w:tc>
          <w:tcPr>
            <w:tcW w:type="dxa" w:w="35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MaintainX end to end, automated work orders, Tailscale remote access confirmed</w:t>
            </w:r>
          </w:p>
        </w:tc>
        <w:tc>
          <w:tcPr>
            <w:tcW w:type="dxa" w:w="2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Sensor anomaly to work order to notification. Live data accessible remotely without cloud dependency.</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G7</w:t>
            </w:r>
          </w:p>
        </w:tc>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Independence Validation and Project Closeout</w:t>
            </w:r>
          </w:p>
        </w:tc>
        <w:tc>
          <w:tcPr>
            <w:tcW w:type="dxa" w:w="3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Colleague-executed independence exercise using documentation only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Documentation-driven independent system extension. The Independence Principle demonstrated physically.</w:t>
            </w:r>
          </w:p>
        </w:tc>
      </w:tr>
    </w:tbl>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240"/>
              <w:bottom w:type="dxa" w:w="100"/>
              <w:right w:type="dxa" w:w="240"/>
            </w:tcMar>
          </w:tcPr>
          <w:p>
            <w:pPr>
              <w:spacing w:after="60" w:before="60"/>
            </w:pPr>
            <w:r>
              <w:rPr>
                <w:rFonts w:ascii="Arial" w:cs="Arial" w:eastAsia="Arial" w:hAnsi="Arial"/>
                <w:b/>
                <w:bCs/>
                <w:i w:val="false"/>
                <w:iCs w:val="false"/>
                <w:color w:val="00ACC1"/>
                <w:sz w:val="22"/>
                <w:szCs w:val="22"/>
              </w:rPr>
              <w:t xml:space="preserve">4.  </w:t>
            </w:r>
            <w:r>
              <w:rPr>
                <w:rFonts w:ascii="Arial" w:cs="Arial" w:eastAsia="Arial" w:hAnsi="Arial"/>
                <w:b/>
                <w:bCs/>
                <w:i w:val="false"/>
                <w:iCs w:val="false"/>
                <w:color w:val="FFFFFF"/>
                <w:sz w:val="22"/>
                <w:szCs w:val="22"/>
              </w:rPr>
              <w:t xml:space="preserve">PHASE DETAILS AND GATE ENTRY CRITERIA</w:t>
            </w:r>
          </w:p>
        </w:tc>
      </w:tr>
    </w:tbl>
    <w:p>
      <w:pPr>
        <w:spacing w:after="0" w:before="200"/>
      </w:pPr>
      <w:r>
        <w:t xml:space="preserve"/>
      </w:r>
    </w:p>
    <w:p>
      <w:pPr>
        <w:spacing w:after="120" w:before="0" w:line="320"/>
      </w:pPr>
      <w:r>
        <w:rPr>
          <w:rFonts w:ascii="Arial" w:cs="Arial" w:eastAsia="Arial" w:hAnsi="Arial"/>
          <w:b w:val="false"/>
          <w:bCs w:val="false"/>
          <w:i w:val="false"/>
          <w:iCs w:val="false"/>
          <w:color w:val="1A1A1A"/>
          <w:sz w:val="19"/>
          <w:szCs w:val="19"/>
        </w:rPr>
        <w:t xml:space="preserve">Each phase below includes its purpose, key activities, demonstration value, and the gate entry criteria that must be satisfied before the next phase begins. Gate passage is documented in Section 6.</w:t>
      </w:r>
    </w:p>
    <w:p>
      <w:pPr>
        <w:spacing w:after="0" w:before="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0"/>
        <w:gridCol w:w="6560"/>
        <w:gridCol w:w="1600"/>
      </w:tblGrid>
      <w:tr>
        <w:tc>
          <w:tcPr>
            <w:tcW w:type="dxa" w:w="1200"/>
            <w:tcBorders>
              <w:top w:val="none" w:color="FFFFFF" w:sz="0"/>
              <w:left w:val="none" w:color="FFFFFF" w:sz="0"/>
              <w:bottom w:val="none" w:color="FFFFFF" w:sz="0"/>
              <w:right w:val="none" w:color="FFFFFF" w:sz="0"/>
            </w:tcBorders>
            <w:shd w:fill="1A3A5C" w:val="clear"/>
            <w:tcMar>
              <w:top w:type="dxa" w:w="80"/>
              <w:left w:type="dxa" w:w="160"/>
              <w:bottom w:type="dxa" w:w="80"/>
              <w:right w:type="dxa" w:w="100"/>
            </w:tcMar>
          </w:tcPr>
          <w:p>
            <w:pPr>
              <w:spacing w:after="40" w:before="40"/>
            </w:pPr>
            <w:r>
              <w:rPr>
                <w:rFonts w:ascii="Arial" w:cs="Arial" w:eastAsia="Arial" w:hAnsi="Arial"/>
                <w:b/>
                <w:bCs/>
                <w:i w:val="false"/>
                <w:iCs w:val="false"/>
                <w:color w:val="00ACC1"/>
                <w:sz w:val="20"/>
                <w:szCs w:val="20"/>
              </w:rPr>
              <w:t xml:space="preserve">GATE G0</w:t>
            </w:r>
          </w:p>
        </w:tc>
        <w:tc>
          <w:tcPr>
            <w:tcW w:type="dxa" w:w="6560"/>
            <w:tcBorders>
              <w:top w:val="none" w:color="FFFFFF" w:sz="0"/>
              <w:left w:val="none" w:color="FFFFFF" w:sz="0"/>
              <w:bottom w:val="none" w:color="FFFFFF" w:sz="0"/>
              <w:right w:val="none" w:color="FFFFFF" w:sz="0"/>
            </w:tcBorders>
            <w:shd w:fill="1F3864" w:val="clear"/>
            <w:tcMar>
              <w:top w:type="dxa" w:w="80"/>
              <w:left w:type="dxa" w:w="160"/>
              <w:bottom w:type="dxa" w:w="80"/>
              <w:right w:type="dxa" w:w="100"/>
            </w:tcMar>
          </w:tcPr>
          <w:p>
            <w:pPr>
              <w:spacing w:after="40" w:before="40"/>
            </w:pPr>
            <w:r>
              <w:rPr>
                <w:rFonts w:ascii="Arial" w:cs="Arial" w:eastAsia="Arial" w:hAnsi="Arial"/>
                <w:b/>
                <w:bCs/>
                <w:i w:val="false"/>
                <w:iCs w:val="false"/>
                <w:color w:val="FFFFFF"/>
                <w:sz w:val="20"/>
                <w:szCs w:val="20"/>
              </w:rPr>
              <w:t xml:space="preserve">Project Initiation and Architecture Definition</w:t>
            </w:r>
          </w:p>
        </w:tc>
        <w:tc>
          <w:tcPr>
            <w:tcW w:type="dxa" w:w="1600"/>
            <w:tcBorders>
              <w:top w:val="none" w:color="FFFFFF" w:sz="0"/>
              <w:left w:val="none" w:color="FFFFFF" w:sz="0"/>
              <w:bottom w:val="none" w:color="FFFFFF" w:sz="0"/>
              <w:right w:val="none" w:color="FFFFFF" w:sz="0"/>
            </w:tcBorders>
            <w:shd w:fill="1B5E20" w:val="clear"/>
            <w:tcMar>
              <w:top w:type="dxa" w:w="80"/>
              <w:left w:type="dxa" w:w="120"/>
              <w:bottom w:type="dxa" w:w="80"/>
              <w:right w:type="dxa" w:w="120"/>
            </w:tcMar>
          </w:tcPr>
          <w:p>
            <w:pPr>
              <w:spacing w:after="40" w:before="40"/>
              <w:jc w:val="center"/>
            </w:pPr>
            <w:r>
              <w:rPr>
                <w:rFonts w:ascii="Arial" w:cs="Arial" w:eastAsia="Arial" w:hAnsi="Arial"/>
                <w:b/>
                <w:bCs/>
                <w:i w:val="false"/>
                <w:iCs w:val="false"/>
                <w:color w:val="FFFFFF"/>
                <w:sz w:val="17"/>
                <w:szCs w:val="17"/>
              </w:rPr>
              <w:t xml:space="preserve">COMPLETE</w:t>
            </w:r>
          </w:p>
        </w:tc>
      </w:tr>
    </w:tbl>
    <w:p>
      <w:pPr>
        <w:spacing w:after="0" w:before="120"/>
      </w:pPr>
      <w:r>
        <w:t xml:space="preserve"/>
      </w:r>
    </w:p>
    <w:p>
      <w:pPr>
        <w:spacing w:after="120" w:before="0" w:line="320"/>
      </w:pPr>
      <w:r>
        <w:rPr>
          <w:rFonts w:ascii="Arial" w:cs="Arial" w:eastAsia="Arial" w:hAnsi="Arial"/>
          <w:b w:val="false"/>
          <w:bCs w:val="false"/>
          <w:i w:val="false"/>
          <w:iCs w:val="false"/>
          <w:color w:val="1A1A1A"/>
          <w:sz w:val="19"/>
          <w:szCs w:val="19"/>
        </w:rPr>
        <w:t xml:space="preserve">Establish the complete project foundation before programming begins. All architectural decisions documented, version control initialized, document family established. This gate is complete for the Loogootee project.</w:t>
      </w:r>
    </w:p>
    <w:p>
      <w:pPr>
        <w:spacing w:after="0" w:before="10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Key Activities</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Project scope defined — two-site precision metal stamping simulation, 11 controllers, 5 vendors, 13 protocols</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Five-layer IIoT stack architecture defined and documented — all nine ADRs recorded</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ISA-95 two-tier tag naming standard documented — Tier 1 RSLogix 500, Tier 2 UNS</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UNS topic hierarchy documented for both sites</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Hardware register complete — all confirmed hardware listed</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Network architecture defined — VLANs, IP scheme, OT/IIoT/IT zone separation</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Version control repository initialized — GitHub repo active</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Pre-project program backup record complete</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Phase gate criteria document issued</w:t>
      </w:r>
    </w:p>
    <w:p>
      <w:pPr>
        <w:spacing w:after="0" w:before="10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Demonstration Value</w:t>
      </w:r>
    </w:p>
    <w:p>
      <w:pPr>
        <w:spacing w:after="120" w:before="0" w:line="320"/>
      </w:pPr>
      <w:r>
        <w:rPr>
          <w:rFonts w:ascii="Arial" w:cs="Arial" w:eastAsia="Arial" w:hAnsi="Arial"/>
          <w:b w:val="false"/>
          <w:bCs w:val="false"/>
          <w:i w:val="false"/>
          <w:iCs w:val="false"/>
          <w:color w:val="1A1A1A"/>
          <w:sz w:val="19"/>
          <w:szCs w:val="19"/>
        </w:rPr>
        <w:t xml:space="preserve">All architectural decisions documented and defensible before programming begins. Anyone reviewing the project at Gate G0 can understand every design decision and the rationale behind it.</w:t>
      </w:r>
    </w:p>
    <w:p>
      <w:pPr>
        <w:spacing w:after="0" w:before="10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Gate Entry Criteria</w:t>
      </w:r>
    </w:p>
    <w:p>
      <w:pPr>
        <w:spacing w:after="120" w:before="0" w:line="320"/>
      </w:pPr>
      <w:r>
        <w:rPr>
          <w:rFonts w:ascii="Arial" w:cs="Arial" w:eastAsia="Arial" w:hAnsi="Arial"/>
          <w:b w:val="false"/>
          <w:bCs w:val="false"/>
          <w:i/>
          <w:iCs/>
          <w:color w:val="445566"/>
          <w:sz w:val="19"/>
          <w:szCs w:val="19"/>
        </w:rPr>
        <w:t xml:space="preserve">All criteria must be satisfied and documented before the next phase is authorized to begin.</w:t>
      </w:r>
    </w:p>
    <w:p>
      <w:pPr>
        <w:spacing w:after="0" w:before="60"/>
      </w:pPr>
      <w:r>
        <w:t xml:space="preserve"/>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Project scope document complete and current</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IIoT architecture decision record complete — all nine ADRs documented</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Five-layer IIoT stack architecture defined and documented</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ISA-95 two-tier tag naming standard documented</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UNS topic hierarchy documented for both sites</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Hardware register complete</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Network architecture defined — VLANs, IP scheme, zone separation</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Version control repository initialized and accessible</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Pre-project program backup record complete</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Phase gate criteria issued</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Gate G0 sign-off documented in project record</w:t>
      </w:r>
    </w:p>
    <w:p>
      <w:pPr>
        <w:spacing w:after="0" w:before="2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0"/>
        <w:gridCol w:w="6560"/>
        <w:gridCol w:w="1600"/>
      </w:tblGrid>
      <w:tr>
        <w:tc>
          <w:tcPr>
            <w:tcW w:type="dxa" w:w="1200"/>
            <w:tcBorders>
              <w:top w:val="none" w:color="FFFFFF" w:sz="0"/>
              <w:left w:val="none" w:color="FFFFFF" w:sz="0"/>
              <w:bottom w:val="none" w:color="FFFFFF" w:sz="0"/>
              <w:right w:val="none" w:color="FFFFFF" w:sz="0"/>
            </w:tcBorders>
            <w:shd w:fill="1A3A5C" w:val="clear"/>
            <w:tcMar>
              <w:top w:type="dxa" w:w="80"/>
              <w:left w:type="dxa" w:w="160"/>
              <w:bottom w:type="dxa" w:w="80"/>
              <w:right w:type="dxa" w:w="100"/>
            </w:tcMar>
          </w:tcPr>
          <w:p>
            <w:pPr>
              <w:spacing w:after="40" w:before="40"/>
            </w:pPr>
            <w:r>
              <w:rPr>
                <w:rFonts w:ascii="Arial" w:cs="Arial" w:eastAsia="Arial" w:hAnsi="Arial"/>
                <w:b/>
                <w:bCs/>
                <w:i w:val="false"/>
                <w:iCs w:val="false"/>
                <w:color w:val="00ACC1"/>
                <w:sz w:val="20"/>
                <w:szCs w:val="20"/>
              </w:rPr>
              <w:t xml:space="preserve">GATE G1</w:t>
            </w:r>
          </w:p>
        </w:tc>
        <w:tc>
          <w:tcPr>
            <w:tcW w:type="dxa" w:w="6560"/>
            <w:tcBorders>
              <w:top w:val="none" w:color="FFFFFF" w:sz="0"/>
              <w:left w:val="none" w:color="FFFFFF" w:sz="0"/>
              <w:bottom w:val="none" w:color="FFFFFF" w:sz="0"/>
              <w:right w:val="none" w:color="FFFFFF" w:sz="0"/>
            </w:tcBorders>
            <w:shd w:fill="1F3864" w:val="clear"/>
            <w:tcMar>
              <w:top w:type="dxa" w:w="80"/>
              <w:left w:type="dxa" w:w="160"/>
              <w:bottom w:type="dxa" w:w="80"/>
              <w:right w:type="dxa" w:w="100"/>
            </w:tcMar>
          </w:tcPr>
          <w:p>
            <w:pPr>
              <w:spacing w:after="40" w:before="40"/>
            </w:pPr>
            <w:r>
              <w:rPr>
                <w:rFonts w:ascii="Arial" w:cs="Arial" w:eastAsia="Arial" w:hAnsi="Arial"/>
                <w:b/>
                <w:bCs/>
                <w:i w:val="false"/>
                <w:iCs w:val="false"/>
                <w:color w:val="FFFFFF"/>
                <w:sz w:val="20"/>
                <w:szCs w:val="20"/>
              </w:rPr>
              <w:t xml:space="preserve">Controller Commissioning and UNS Integration</w:t>
            </w:r>
          </w:p>
        </w:tc>
        <w:tc>
          <w:tcPr>
            <w:tcW w:type="dxa" w:w="1600"/>
            <w:tcBorders>
              <w:top w:val="none" w:color="FFFFFF" w:sz="0"/>
              <w:left w:val="none" w:color="FFFFFF" w:sz="0"/>
              <w:bottom w:val="none" w:color="FFFFFF" w:sz="0"/>
              <w:right w:val="none" w:color="FFFFFF" w:sz="0"/>
            </w:tcBorders>
            <w:shd w:fill="E65100" w:val="clear"/>
            <w:tcMar>
              <w:top w:type="dxa" w:w="80"/>
              <w:left w:type="dxa" w:w="120"/>
              <w:bottom w:type="dxa" w:w="80"/>
              <w:right w:type="dxa" w:w="120"/>
            </w:tcMar>
          </w:tcPr>
          <w:p>
            <w:pPr>
              <w:spacing w:after="40" w:before="40"/>
              <w:jc w:val="center"/>
            </w:pPr>
            <w:r>
              <w:rPr>
                <w:rFonts w:ascii="Arial" w:cs="Arial" w:eastAsia="Arial" w:hAnsi="Arial"/>
                <w:b/>
                <w:bCs/>
                <w:i w:val="false"/>
                <w:iCs w:val="false"/>
                <w:color w:val="FFFFFF"/>
                <w:sz w:val="17"/>
                <w:szCs w:val="17"/>
              </w:rPr>
              <w:t xml:space="preserve">IN PROGRESS</w:t>
            </w:r>
          </w:p>
        </w:tc>
      </w:tr>
    </w:tbl>
    <w:p>
      <w:pPr>
        <w:spacing w:after="0" w:before="120"/>
      </w:pPr>
      <w:r>
        <w:t xml:space="preserve"/>
      </w:r>
    </w:p>
    <w:p>
      <w:pPr>
        <w:spacing w:after="120" w:before="0" w:line="320"/>
      </w:pPr>
      <w:r>
        <w:rPr>
          <w:rFonts w:ascii="Arial" w:cs="Arial" w:eastAsia="Arial" w:hAnsi="Arial"/>
          <w:b w:val="false"/>
          <w:bCs w:val="false"/>
          <w:i w:val="false"/>
          <w:iCs w:val="false"/>
          <w:color w:val="1A1A1A"/>
          <w:sz w:val="19"/>
          <w:szCs w:val="19"/>
        </w:rPr>
        <w:t xml:space="preserve">Commission all 11 controllers, write and validate all simulation programs, and verify that all data is publishing correctly to the Unified Namespace before IIoT stack infrastructure is built.</w:t>
      </w:r>
    </w:p>
    <w:p>
      <w:pPr>
        <w:spacing w:after="0" w:before="10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Key Activities</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Rack power infrastructure complete — both dedicated 20A circuits landed</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All 11 controllers physically mounted, powered, and commissioned</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Simulated production routines running on all platforms — fault cycling, cycle times, part counts</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All controllers publishing ISA-95 named Sparkplug B metrics to Mosquitto broker</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Sparkplug B payload verified end to end via MQTT Explorer on all devices</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All 13 protocol paths verified active — DF1, DH-485, Modbus RTU, EtherNet/IP, PROFINET, PROFIBUS, EtherCAT, OPC-UA, S7 PUT/GET, CIP Safety, MQTT, Sparkplug B, IO-Link broker path</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All program files committed to version control at Gate G1 revision</w:t>
      </w:r>
    </w:p>
    <w:p>
      <w:pPr>
        <w:spacing w:after="0" w:before="10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Demonstration Value</w:t>
      </w:r>
    </w:p>
    <w:p>
      <w:pPr>
        <w:spacing w:after="120" w:before="0" w:line="320"/>
      </w:pPr>
      <w:r>
        <w:rPr>
          <w:rFonts w:ascii="Arial" w:cs="Arial" w:eastAsia="Arial" w:hAnsi="Arial"/>
          <w:b w:val="false"/>
          <w:bCs w:val="false"/>
          <w:i w:val="false"/>
          <w:iCs w:val="false"/>
          <w:color w:val="1A1A1A"/>
          <w:sz w:val="19"/>
          <w:szCs w:val="19"/>
        </w:rPr>
        <w:t xml:space="preserve">Multi-platform IIoT integration capability across 5 vendors and 13 protocols. Complete OT data layer operational and verified before the IIoT stack is built on top of it.</w:t>
      </w:r>
    </w:p>
    <w:p>
      <w:pPr>
        <w:spacing w:after="0" w:before="10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Gate Entry Criteria</w:t>
      </w:r>
    </w:p>
    <w:p>
      <w:pPr>
        <w:spacing w:after="120" w:before="0" w:line="320"/>
      </w:pPr>
      <w:r>
        <w:rPr>
          <w:rFonts w:ascii="Arial" w:cs="Arial" w:eastAsia="Arial" w:hAnsi="Arial"/>
          <w:b w:val="false"/>
          <w:bCs w:val="false"/>
          <w:i/>
          <w:iCs/>
          <w:color w:val="445566"/>
          <w:sz w:val="19"/>
          <w:szCs w:val="19"/>
        </w:rPr>
        <w:t xml:space="preserve">All criteria must be satisfied and documented before the next phase is authorized to begin.</w:t>
      </w:r>
    </w:p>
    <w:p>
      <w:pPr>
        <w:spacing w:after="0" w:before="60"/>
      </w:pPr>
      <w:r>
        <w:t xml:space="preserve"/>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All 11 controllers physically mounted and powered in 42U rack</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Rack power complete — both 20A circuits landed and verified</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All 11 controllers commissioned — programs downloaded and running</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Simulated production routines running on all platforms</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All controllers publishing ISA-95 named Sparkplug B metrics to broker</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Sparkplug B payload verified end to end — MQTT Explorer confirmation on all devices</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Tag naming validated against ISA-95 standard — Tier 1 and Tier 2 confirmed</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All 13 protocol paths verified active</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Pre-commissioning program backup complete — all 11 controllers at commissioned state</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All program files committed to version control at Gate G1 revision</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MicroLogix 1000 program spec updated to final revision</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Gate G1 sign-off documented in project record</w:t>
      </w:r>
    </w:p>
    <w:p>
      <w:pPr>
        <w:spacing w:after="0" w:before="2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0"/>
        <w:gridCol w:w="6560"/>
        <w:gridCol w:w="1600"/>
      </w:tblGrid>
      <w:tr>
        <w:tc>
          <w:tcPr>
            <w:tcW w:type="dxa" w:w="1200"/>
            <w:tcBorders>
              <w:top w:val="none" w:color="FFFFFF" w:sz="0"/>
              <w:left w:val="none" w:color="FFFFFF" w:sz="0"/>
              <w:bottom w:val="none" w:color="FFFFFF" w:sz="0"/>
              <w:right w:val="none" w:color="FFFFFF" w:sz="0"/>
            </w:tcBorders>
            <w:shd w:fill="1A3A5C" w:val="clear"/>
            <w:tcMar>
              <w:top w:type="dxa" w:w="80"/>
              <w:left w:type="dxa" w:w="160"/>
              <w:bottom w:type="dxa" w:w="80"/>
              <w:right w:type="dxa" w:w="100"/>
            </w:tcMar>
          </w:tcPr>
          <w:p>
            <w:pPr>
              <w:spacing w:after="40" w:before="40"/>
            </w:pPr>
            <w:r>
              <w:rPr>
                <w:rFonts w:ascii="Arial" w:cs="Arial" w:eastAsia="Arial" w:hAnsi="Arial"/>
                <w:b/>
                <w:bCs/>
                <w:i w:val="false"/>
                <w:iCs w:val="false"/>
                <w:color w:val="00ACC1"/>
                <w:sz w:val="20"/>
                <w:szCs w:val="20"/>
              </w:rPr>
              <w:t xml:space="preserve">GATE G2</w:t>
            </w:r>
          </w:p>
        </w:tc>
        <w:tc>
          <w:tcPr>
            <w:tcW w:type="dxa" w:w="6560"/>
            <w:tcBorders>
              <w:top w:val="none" w:color="FFFFFF" w:sz="0"/>
              <w:left w:val="none" w:color="FFFFFF" w:sz="0"/>
              <w:bottom w:val="none" w:color="FFFFFF" w:sz="0"/>
              <w:right w:val="none" w:color="FFFFFF" w:sz="0"/>
            </w:tcBorders>
            <w:shd w:fill="1F3864" w:val="clear"/>
            <w:tcMar>
              <w:top w:type="dxa" w:w="80"/>
              <w:left w:type="dxa" w:w="160"/>
              <w:bottom w:type="dxa" w:w="80"/>
              <w:right w:type="dxa" w:w="100"/>
            </w:tcMar>
          </w:tcPr>
          <w:p>
            <w:pPr>
              <w:spacing w:after="40" w:before="40"/>
            </w:pPr>
            <w:r>
              <w:rPr>
                <w:rFonts w:ascii="Arial" w:cs="Arial" w:eastAsia="Arial" w:hAnsi="Arial"/>
                <w:b/>
                <w:bCs/>
                <w:i w:val="false"/>
                <w:iCs w:val="false"/>
                <w:color w:val="FFFFFF"/>
                <w:sz w:val="20"/>
                <w:szCs w:val="20"/>
              </w:rPr>
              <w:t xml:space="preserve">IIoT Stack Deployment and Network Security</w:t>
            </w:r>
          </w:p>
        </w:tc>
        <w:tc>
          <w:tcPr>
            <w:tcW w:type="dxa" w:w="1600"/>
            <w:tcBorders>
              <w:top w:val="none" w:color="FFFFFF" w:sz="0"/>
              <w:left w:val="none" w:color="FFFFFF" w:sz="0"/>
              <w:bottom w:val="none" w:color="FFFFFF" w:sz="0"/>
              <w:right w:val="none" w:color="FFFFFF" w:sz="0"/>
            </w:tcBorders>
            <w:shd w:fill="445566" w:val="clear"/>
            <w:tcMar>
              <w:top w:type="dxa" w:w="80"/>
              <w:left w:type="dxa" w:w="120"/>
              <w:bottom w:type="dxa" w:w="80"/>
              <w:right w:type="dxa" w:w="120"/>
            </w:tcMar>
          </w:tcPr>
          <w:p>
            <w:pPr>
              <w:spacing w:after="40" w:before="40"/>
              <w:jc w:val="center"/>
            </w:pPr>
            <w:r>
              <w:rPr>
                <w:rFonts w:ascii="Arial" w:cs="Arial" w:eastAsia="Arial" w:hAnsi="Arial"/>
                <w:b/>
                <w:bCs/>
                <w:i w:val="false"/>
                <w:iCs w:val="false"/>
                <w:color w:val="FFFFFF"/>
                <w:sz w:val="17"/>
                <w:szCs w:val="17"/>
              </w:rPr>
              <w:t xml:space="preserve">PLANNED</w:t>
            </w:r>
          </w:p>
        </w:tc>
      </w:tr>
    </w:tbl>
    <w:p>
      <w:pPr>
        <w:spacing w:after="0" w:before="120"/>
      </w:pPr>
      <w:r>
        <w:t xml:space="preserve"/>
      </w:r>
    </w:p>
    <w:p>
      <w:pPr>
        <w:spacing w:after="120" w:before="0" w:line="320"/>
      </w:pPr>
      <w:r>
        <w:rPr>
          <w:rFonts w:ascii="Arial" w:cs="Arial" w:eastAsia="Arial" w:hAnsi="Arial"/>
          <w:b w:val="false"/>
          <w:bCs w:val="false"/>
          <w:i w:val="false"/>
          <w:iCs w:val="false"/>
          <w:color w:val="1A1A1A"/>
          <w:sz w:val="19"/>
          <w:szCs w:val="19"/>
        </w:rPr>
        <w:t xml:space="preserve">Commission the AOOSTAR NAS, deploy the full IIoT stack in Proxmox LXC containers, configure Tailscale for secure remote access, and verify the network security architecture before the visualization layer is built. Security verification is a non-negotiable gate criterion.</w:t>
      </w:r>
    </w:p>
    <w:p>
      <w:pPr>
        <w:spacing w:after="0" w:before="10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Key Activities</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AOOSTAR WTR Max commissioned — Proxmox VE installed, RAM from OMEN 16 upgrade installed</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All IIoT stack LXC containers deployed — Mosquitto, Node-RED, Ignition, Telegraf, InfluxDB, Grafana</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Ignition confirmed as sole calculation engine — OEE calculating from live PLC data</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Telegraf capturing all broker topics to InfluxDB — all metrics present and verified</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Tailscale mesh network configured — no port forwarding, no public IP exposure</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Network security zones confirmed — OT isolated, IIoT segment defined, no direct OT to IT path</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MQTT broker authentication and ACL enforcement verified</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TLS encryption confirmed on all MQTT connections</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Remote access verified — live rack data accessible via Tailscale from outside home network</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NAS and stack configuration files committed to version control</w:t>
      </w:r>
    </w:p>
    <w:p>
      <w:pPr>
        <w:spacing w:after="0" w:before="10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Demonstration Value</w:t>
      </w:r>
    </w:p>
    <w:p>
      <w:pPr>
        <w:spacing w:after="120" w:before="0" w:line="320"/>
      </w:pPr>
      <w:r>
        <w:rPr>
          <w:rFonts w:ascii="Arial" w:cs="Arial" w:eastAsia="Arial" w:hAnsi="Arial"/>
          <w:b w:val="false"/>
          <w:bCs w:val="false"/>
          <w:i w:val="false"/>
          <w:iCs w:val="false"/>
          <w:color w:val="1A1A1A"/>
          <w:sz w:val="19"/>
          <w:szCs w:val="19"/>
        </w:rPr>
        <w:t xml:space="preserve">Complete OT/IIoT operational capability. Secure remote access via Tailscale with no public IP exposure and no ransomware attack surface. Live production data accessible from anywhere on authenticated devices.</w:t>
      </w:r>
    </w:p>
    <w:p>
      <w:pPr>
        <w:spacing w:after="0" w:before="10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Gate Entry Criteria</w:t>
      </w:r>
    </w:p>
    <w:p>
      <w:pPr>
        <w:spacing w:after="120" w:before="0" w:line="320"/>
      </w:pPr>
      <w:r>
        <w:rPr>
          <w:rFonts w:ascii="Arial" w:cs="Arial" w:eastAsia="Arial" w:hAnsi="Arial"/>
          <w:b w:val="false"/>
          <w:bCs w:val="false"/>
          <w:i/>
          <w:iCs/>
          <w:color w:val="445566"/>
          <w:sz w:val="19"/>
          <w:szCs w:val="19"/>
        </w:rPr>
        <w:t xml:space="preserve">All criteria must be satisfied and documented before the next phase is authorized to begin.</w:t>
      </w:r>
    </w:p>
    <w:p>
      <w:pPr>
        <w:spacing w:after="0" w:before="60"/>
      </w:pPr>
      <w:r>
        <w:t xml:space="preserve"/>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AOOSTAR NAS commissioned — Proxmox VE installed and operational</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All IIoT stack LXC containers deployed and running</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Ignition confirmed as sole calculation engine</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Telegraf confirmed capturing all broker topics to InfluxDB</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Tailscale mesh configured — no port forwarding, no open ports on home router</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Network security zones confirmed — OT isolated, no direct OT to IT path</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MQTT broker authentication and ACL enforcement verified</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TLS encryption confirmed on all MQTT connections</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Remote access verified from outside home network via Tailscale</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NAS configuration files committed to version control</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Gate G2 sign-off documented in project record</w:t>
      </w:r>
    </w:p>
    <w:p>
      <w:pPr>
        <w:spacing w:after="0" w:before="2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0"/>
        <w:gridCol w:w="6560"/>
        <w:gridCol w:w="1600"/>
      </w:tblGrid>
      <w:tr>
        <w:tc>
          <w:tcPr>
            <w:tcW w:type="dxa" w:w="1200"/>
            <w:tcBorders>
              <w:top w:val="none" w:color="FFFFFF" w:sz="0"/>
              <w:left w:val="none" w:color="FFFFFF" w:sz="0"/>
              <w:bottom w:val="none" w:color="FFFFFF" w:sz="0"/>
              <w:right w:val="none" w:color="FFFFFF" w:sz="0"/>
            </w:tcBorders>
            <w:shd w:fill="1A3A5C" w:val="clear"/>
            <w:tcMar>
              <w:top w:type="dxa" w:w="80"/>
              <w:left w:type="dxa" w:w="160"/>
              <w:bottom w:type="dxa" w:w="80"/>
              <w:right w:type="dxa" w:w="100"/>
            </w:tcMar>
          </w:tcPr>
          <w:p>
            <w:pPr>
              <w:spacing w:after="40" w:before="40"/>
            </w:pPr>
            <w:r>
              <w:rPr>
                <w:rFonts w:ascii="Arial" w:cs="Arial" w:eastAsia="Arial" w:hAnsi="Arial"/>
                <w:b/>
                <w:bCs/>
                <w:i w:val="false"/>
                <w:iCs w:val="false"/>
                <w:color w:val="00ACC1"/>
                <w:sz w:val="20"/>
                <w:szCs w:val="20"/>
              </w:rPr>
              <w:t xml:space="preserve">GATE G3</w:t>
            </w:r>
          </w:p>
        </w:tc>
        <w:tc>
          <w:tcPr>
            <w:tcW w:type="dxa" w:w="6560"/>
            <w:tcBorders>
              <w:top w:val="none" w:color="FFFFFF" w:sz="0"/>
              <w:left w:val="none" w:color="FFFFFF" w:sz="0"/>
              <w:bottom w:val="none" w:color="FFFFFF" w:sz="0"/>
              <w:right w:val="none" w:color="FFFFFF" w:sz="0"/>
            </w:tcBorders>
            <w:shd w:fill="1F3864" w:val="clear"/>
            <w:tcMar>
              <w:top w:type="dxa" w:w="80"/>
              <w:left w:type="dxa" w:w="160"/>
              <w:bottom w:type="dxa" w:w="80"/>
              <w:right w:type="dxa" w:w="100"/>
            </w:tcMar>
          </w:tcPr>
          <w:p>
            <w:pPr>
              <w:spacing w:after="40" w:before="40"/>
            </w:pPr>
            <w:r>
              <w:rPr>
                <w:rFonts w:ascii="Arial" w:cs="Arial" w:eastAsia="Arial" w:hAnsi="Arial"/>
                <w:b/>
                <w:bCs/>
                <w:i w:val="false"/>
                <w:iCs w:val="false"/>
                <w:color w:val="FFFFFF"/>
                <w:sz w:val="20"/>
                <w:szCs w:val="20"/>
              </w:rPr>
              <w:t xml:space="preserve">Production Visibility and Historian</w:t>
            </w:r>
          </w:p>
        </w:tc>
        <w:tc>
          <w:tcPr>
            <w:tcW w:type="dxa" w:w="1600"/>
            <w:tcBorders>
              <w:top w:val="none" w:color="FFFFFF" w:sz="0"/>
              <w:left w:val="none" w:color="FFFFFF" w:sz="0"/>
              <w:bottom w:val="none" w:color="FFFFFF" w:sz="0"/>
              <w:right w:val="none" w:color="FFFFFF" w:sz="0"/>
            </w:tcBorders>
            <w:shd w:fill="445566" w:val="clear"/>
            <w:tcMar>
              <w:top w:type="dxa" w:w="80"/>
              <w:left w:type="dxa" w:w="120"/>
              <w:bottom w:type="dxa" w:w="80"/>
              <w:right w:type="dxa" w:w="120"/>
            </w:tcMar>
          </w:tcPr>
          <w:p>
            <w:pPr>
              <w:spacing w:after="40" w:before="40"/>
              <w:jc w:val="center"/>
            </w:pPr>
            <w:r>
              <w:rPr>
                <w:rFonts w:ascii="Arial" w:cs="Arial" w:eastAsia="Arial" w:hAnsi="Arial"/>
                <w:b/>
                <w:bCs/>
                <w:i w:val="false"/>
                <w:iCs w:val="false"/>
                <w:color w:val="FFFFFF"/>
                <w:sz w:val="17"/>
                <w:szCs w:val="17"/>
              </w:rPr>
              <w:t xml:space="preserve">PLANNED</w:t>
            </w:r>
          </w:p>
        </w:tc>
      </w:tr>
    </w:tbl>
    <w:p>
      <w:pPr>
        <w:spacing w:after="0" w:before="120"/>
      </w:pPr>
      <w:r>
        <w:t xml:space="preserve"/>
      </w:r>
    </w:p>
    <w:p>
      <w:pPr>
        <w:spacing w:after="120" w:before="0" w:line="320"/>
      </w:pPr>
      <w:r>
        <w:rPr>
          <w:rFonts w:ascii="Arial" w:cs="Arial" w:eastAsia="Arial" w:hAnsi="Arial"/>
          <w:b w:val="false"/>
          <w:bCs w:val="false"/>
          <w:i w:val="false"/>
          <w:iCs w:val="false"/>
          <w:color w:val="1A1A1A"/>
          <w:sz w:val="19"/>
          <w:szCs w:val="19"/>
        </w:rPr>
        <w:t xml:space="preserve">Build the complete production visibility and historian layer before physical system expansion begins. All machines must be visible, OEE calculating, and the historian accumulating data. This establishes the baseline operational state before the operator panel rack is added.</w:t>
      </w:r>
    </w:p>
    <w:p>
      <w:pPr>
        <w:spacing w:after="0" w:before="10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Key Activities</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Grafana dashboards built for all 11 controllers and both sites — machine detail and site overview views</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OEE calculating in real time for all production machines — Availability, Performance, Quality</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InfluxDB historian accumulating data at full resolution for all metrics</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Shift reporting operational — shift start, end, and production totals per shift</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Cross-site production visibility confirmed — Site 1 output and Site 2 receiving reconciled</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Downtime events captured automatically — timestamp, duration, and fault code</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Dashboards accessible via Tailscale from outside home network</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Historian backup procedure automated and verified</w:t>
      </w:r>
    </w:p>
    <w:p>
      <w:pPr>
        <w:spacing w:after="0" w:before="10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Demonstration Value</w:t>
      </w:r>
    </w:p>
    <w:p>
      <w:pPr>
        <w:spacing w:after="120" w:before="0" w:line="320"/>
      </w:pPr>
      <w:r>
        <w:rPr>
          <w:rFonts w:ascii="Arial" w:cs="Arial" w:eastAsia="Arial" w:hAnsi="Arial"/>
          <w:b w:val="false"/>
          <w:bCs w:val="false"/>
          <w:i w:val="false"/>
          <w:iCs w:val="false"/>
          <w:color w:val="1A1A1A"/>
          <w:sz w:val="19"/>
          <w:szCs w:val="19"/>
        </w:rPr>
        <w:t xml:space="preserve">Live OEE, downtime trending, shift reporting, and cross-site production visibility demonstrated end to end. Production data infrastructure operational. Accessible remotely via Tailscale.</w:t>
      </w:r>
    </w:p>
    <w:p>
      <w:pPr>
        <w:spacing w:after="0" w:before="10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Gate Entry Criteria</w:t>
      </w:r>
    </w:p>
    <w:p>
      <w:pPr>
        <w:spacing w:after="120" w:before="0" w:line="320"/>
      </w:pPr>
      <w:r>
        <w:rPr>
          <w:rFonts w:ascii="Arial" w:cs="Arial" w:eastAsia="Arial" w:hAnsi="Arial"/>
          <w:b w:val="false"/>
          <w:bCs w:val="false"/>
          <w:i/>
          <w:iCs/>
          <w:color w:val="445566"/>
          <w:sz w:val="19"/>
          <w:szCs w:val="19"/>
        </w:rPr>
        <w:t xml:space="preserve">All criteria must be satisfied and documented before the next phase is authorized to begin.</w:t>
      </w:r>
    </w:p>
    <w:p>
      <w:pPr>
        <w:spacing w:after="0" w:before="60"/>
      </w:pPr>
      <w:r>
        <w:t xml:space="preserve"/>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Grafana dashboards complete for all 11 controllers and both sites</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OEE calculating in real time for all production machines</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InfluxDB historian accumulating at full resolution</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Shift reporting operational</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Cross-site production visibility confirmed</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Downtime events captured automatically with timestamp, duration, and fault code</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Dashboards accessible via Tailscale from outside home network</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Historian backup procedure automated and verified</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Dashboard and historian configuration committed to version control</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Gate G3 sign-off documented in project record</w:t>
      </w:r>
    </w:p>
    <w:p>
      <w:pPr>
        <w:spacing w:after="0" w:before="2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0"/>
        <w:gridCol w:w="6560"/>
        <w:gridCol w:w="1600"/>
      </w:tblGrid>
      <w:tr>
        <w:tc>
          <w:tcPr>
            <w:tcW w:type="dxa" w:w="1200"/>
            <w:tcBorders>
              <w:top w:val="none" w:color="FFFFFF" w:sz="0"/>
              <w:left w:val="none" w:color="FFFFFF" w:sz="0"/>
              <w:bottom w:val="none" w:color="FFFFFF" w:sz="0"/>
              <w:right w:val="none" w:color="FFFFFF" w:sz="0"/>
            </w:tcBorders>
            <w:shd w:fill="1A3A5C" w:val="clear"/>
            <w:tcMar>
              <w:top w:type="dxa" w:w="80"/>
              <w:left w:type="dxa" w:w="160"/>
              <w:bottom w:type="dxa" w:w="80"/>
              <w:right w:type="dxa" w:w="100"/>
            </w:tcMar>
          </w:tcPr>
          <w:p>
            <w:pPr>
              <w:spacing w:after="40" w:before="40"/>
            </w:pPr>
            <w:r>
              <w:rPr>
                <w:rFonts w:ascii="Arial" w:cs="Arial" w:eastAsia="Arial" w:hAnsi="Arial"/>
                <w:b/>
                <w:bCs/>
                <w:i w:val="false"/>
                <w:iCs w:val="false"/>
                <w:color w:val="00ACC1"/>
                <w:sz w:val="20"/>
                <w:szCs w:val="20"/>
              </w:rPr>
              <w:t xml:space="preserve">GATE G4</w:t>
            </w:r>
          </w:p>
        </w:tc>
        <w:tc>
          <w:tcPr>
            <w:tcW w:type="dxa" w:w="6560"/>
            <w:tcBorders>
              <w:top w:val="none" w:color="FFFFFF" w:sz="0"/>
              <w:left w:val="none" w:color="FFFFFF" w:sz="0"/>
              <w:bottom w:val="none" w:color="FFFFFF" w:sz="0"/>
              <w:right w:val="none" w:color="FFFFFF" w:sz="0"/>
            </w:tcBorders>
            <w:shd w:fill="1F3864" w:val="clear"/>
            <w:tcMar>
              <w:top w:type="dxa" w:w="80"/>
              <w:left w:type="dxa" w:w="160"/>
              <w:bottom w:type="dxa" w:w="80"/>
              <w:right w:type="dxa" w:w="100"/>
            </w:tcMar>
          </w:tcPr>
          <w:p>
            <w:pPr>
              <w:spacing w:after="40" w:before="40"/>
            </w:pPr>
            <w:r>
              <w:rPr>
                <w:rFonts w:ascii="Arial" w:cs="Arial" w:eastAsia="Arial" w:hAnsi="Arial"/>
                <w:b/>
                <w:bCs/>
                <w:i w:val="false"/>
                <w:iCs w:val="false"/>
                <w:color w:val="FFFFFF"/>
                <w:sz w:val="20"/>
                <w:szCs w:val="20"/>
              </w:rPr>
              <w:t xml:space="preserve">Physical System Expansion and UNS Extensibility</w:t>
            </w:r>
          </w:p>
        </w:tc>
        <w:tc>
          <w:tcPr>
            <w:tcW w:type="dxa" w:w="1600"/>
            <w:tcBorders>
              <w:top w:val="none" w:color="FFFFFF" w:sz="0"/>
              <w:left w:val="none" w:color="FFFFFF" w:sz="0"/>
              <w:bottom w:val="none" w:color="FFFFFF" w:sz="0"/>
              <w:right w:val="none" w:color="FFFFFF" w:sz="0"/>
            </w:tcBorders>
            <w:shd w:fill="445566" w:val="clear"/>
            <w:tcMar>
              <w:top w:type="dxa" w:w="80"/>
              <w:left w:type="dxa" w:w="120"/>
              <w:bottom w:type="dxa" w:w="80"/>
              <w:right w:type="dxa" w:w="120"/>
            </w:tcMar>
          </w:tcPr>
          <w:p>
            <w:pPr>
              <w:spacing w:after="40" w:before="40"/>
              <w:jc w:val="center"/>
            </w:pPr>
            <w:r>
              <w:rPr>
                <w:rFonts w:ascii="Arial" w:cs="Arial" w:eastAsia="Arial" w:hAnsi="Arial"/>
                <w:b/>
                <w:bCs/>
                <w:i w:val="false"/>
                <w:iCs w:val="false"/>
                <w:color w:val="FFFFFF"/>
                <w:sz w:val="17"/>
                <w:szCs w:val="17"/>
              </w:rPr>
              <w:t xml:space="preserve">PLANNED</w:t>
            </w:r>
          </w:p>
        </w:tc>
      </w:tr>
    </w:tbl>
    <w:p>
      <w:pPr>
        <w:spacing w:after="0" w:before="120"/>
      </w:pPr>
      <w:r>
        <w:t xml:space="preserve"/>
      </w:r>
    </w:p>
    <w:p>
      <w:pPr>
        <w:spacing w:after="120" w:before="0" w:line="320"/>
      </w:pPr>
      <w:r>
        <w:rPr>
          <w:rFonts w:ascii="Arial" w:cs="Arial" w:eastAsia="Arial" w:hAnsi="Arial"/>
          <w:b w:val="false"/>
          <w:bCs w:val="false"/>
          <w:i w:val="false"/>
          <w:iCs w:val="false"/>
          <w:color w:val="1A1A1A"/>
          <w:sz w:val="19"/>
          <w:szCs w:val="19"/>
        </w:rPr>
        <w:t xml:space="preserve">Build and commission the operator panel rack as a standalone mobile demonstration unit, then connect it to the fully operational 42U rack system. The critical gate criterion is UNS extensibility — new equipment must appear in existing dashboards and the historian without any reconfiguration of existing architecture.</w:t>
      </w:r>
    </w:p>
    <w:p>
      <w:pPr>
        <w:spacing w:after="0" w:before="10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Key Activities</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Source and build 20U or 24U operator panel rack — matching Riveco frame</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Install groov EPIC-PR1 — relocated from 42U rack — edge device, Node-RED, groov View</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Install PanelView 800 and TBD 10" HMI in operator panel rack</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Wire physical operator I/O — pushbuttons, pilot lights, E-stop</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Install PowerFlex 525 — EtherNet/IP — 0.5HP pump motor at variable speed</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Commission operator panel rack as standalone unit — verify self-contained operation</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Connect operator panel rack to Cisco switch — publish new metrics to UNS</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Verify new equipment data in existing dashboards and InfluxDB without reconfiguration</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Document UNS extensibility — record what appeared automatically and what required configuration</w:t>
      </w:r>
    </w:p>
    <w:p>
      <w:pPr>
        <w:spacing w:after="0" w:before="10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Demonstration Value</w:t>
      </w:r>
    </w:p>
    <w:p>
      <w:pPr>
        <w:spacing w:after="120" w:before="0" w:line="320"/>
      </w:pPr>
      <w:r>
        <w:rPr>
          <w:rFonts w:ascii="Arial" w:cs="Arial" w:eastAsia="Arial" w:hAnsi="Arial"/>
          <w:b w:val="false"/>
          <w:bCs w:val="false"/>
          <w:i w:val="false"/>
          <w:iCs w:val="false"/>
          <w:color w:val="1A1A1A"/>
          <w:sz w:val="19"/>
          <w:szCs w:val="19"/>
        </w:rPr>
        <w:t xml:space="preserve">Portable standalone demonstration unit for client demonstrations. Demonstrates groov View real-time HMI, physical process control via VFD, and operator interface. When connected to the 42U rack demonstrates UNS extensibility — new equipment integrates into fully operational system without reconfiguring existing data architecture.</w:t>
      </w:r>
    </w:p>
    <w:p>
      <w:pPr>
        <w:spacing w:after="0" w:before="10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Gate Entry Criteria</w:t>
      </w:r>
    </w:p>
    <w:p>
      <w:pPr>
        <w:spacing w:after="120" w:before="0" w:line="320"/>
      </w:pPr>
      <w:r>
        <w:rPr>
          <w:rFonts w:ascii="Arial" w:cs="Arial" w:eastAsia="Arial" w:hAnsi="Arial"/>
          <w:b w:val="false"/>
          <w:bCs w:val="false"/>
          <w:i/>
          <w:iCs/>
          <w:color w:val="445566"/>
          <w:sz w:val="19"/>
          <w:szCs w:val="19"/>
        </w:rPr>
        <w:t xml:space="preserve">All criteria must be satisfied and documented before the next phase is authorized to begin.</w:t>
      </w:r>
    </w:p>
    <w:p>
      <w:pPr>
        <w:spacing w:after="0" w:before="60"/>
      </w:pPr>
      <w:r>
        <w:t xml:space="preserve"/>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Operator panel rack sourced and assembled — 20U or 24U Riveco matching frame</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groov EPIC-PR1 relocated and operational in operator panel rack</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PanelView 800 operational in operator panel rack</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Physical operator I/O operational — pushbuttons, pilot lights, E-stop</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PowerFlex 525 installed and operational — pump motor running at variable speed</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groov View HMI operational on operator panel rack display</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Operator panel rack connected to rack network via Cisco switch</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New equipment data appearing in existing Grafana dashboards without reconfiguration</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New equipment data appearing in InfluxDB historian without reconfiguration</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No existing architecture modified to accommodate new rack</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UNS extensibility formally documented — observation record of what appeared automatically</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EPIC configuration committed to version control</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Gate G4 sign-off documented in project record</w:t>
      </w:r>
    </w:p>
    <w:p>
      <w:pPr>
        <w:spacing w:after="0" w:before="2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0"/>
        <w:gridCol w:w="6560"/>
        <w:gridCol w:w="1600"/>
      </w:tblGrid>
      <w:tr>
        <w:tc>
          <w:tcPr>
            <w:tcW w:type="dxa" w:w="1200"/>
            <w:tcBorders>
              <w:top w:val="none" w:color="FFFFFF" w:sz="0"/>
              <w:left w:val="none" w:color="FFFFFF" w:sz="0"/>
              <w:bottom w:val="none" w:color="FFFFFF" w:sz="0"/>
              <w:right w:val="none" w:color="FFFFFF" w:sz="0"/>
            </w:tcBorders>
            <w:shd w:fill="1A3A5C" w:val="clear"/>
            <w:tcMar>
              <w:top w:type="dxa" w:w="80"/>
              <w:left w:type="dxa" w:w="160"/>
              <w:bottom w:type="dxa" w:w="80"/>
              <w:right w:type="dxa" w:w="100"/>
            </w:tcMar>
          </w:tcPr>
          <w:p>
            <w:pPr>
              <w:spacing w:after="40" w:before="40"/>
            </w:pPr>
            <w:r>
              <w:rPr>
                <w:rFonts w:ascii="Arial" w:cs="Arial" w:eastAsia="Arial" w:hAnsi="Arial"/>
                <w:b/>
                <w:bCs/>
                <w:i w:val="false"/>
                <w:iCs w:val="false"/>
                <w:color w:val="00ACC1"/>
                <w:sz w:val="20"/>
                <w:szCs w:val="20"/>
              </w:rPr>
              <w:t xml:space="preserve">GATE G5</w:t>
            </w:r>
          </w:p>
        </w:tc>
        <w:tc>
          <w:tcPr>
            <w:tcW w:type="dxa" w:w="6560"/>
            <w:tcBorders>
              <w:top w:val="none" w:color="FFFFFF" w:sz="0"/>
              <w:left w:val="none" w:color="FFFFFF" w:sz="0"/>
              <w:bottom w:val="none" w:color="FFFFFF" w:sz="0"/>
              <w:right w:val="none" w:color="FFFFFF" w:sz="0"/>
            </w:tcBorders>
            <w:shd w:fill="1F3864" w:val="clear"/>
            <w:tcMar>
              <w:top w:type="dxa" w:w="80"/>
              <w:left w:type="dxa" w:w="160"/>
              <w:bottom w:type="dxa" w:w="80"/>
              <w:right w:type="dxa" w:w="100"/>
            </w:tcMar>
          </w:tcPr>
          <w:p>
            <w:pPr>
              <w:spacing w:after="40" w:before="40"/>
            </w:pPr>
            <w:r>
              <w:rPr>
                <w:rFonts w:ascii="Arial" w:cs="Arial" w:eastAsia="Arial" w:hAnsi="Arial"/>
                <w:b/>
                <w:bCs/>
                <w:i w:val="false"/>
                <w:iCs w:val="false"/>
                <w:color w:val="FFFFFF"/>
                <w:sz w:val="20"/>
                <w:szCs w:val="20"/>
              </w:rPr>
              <w:t xml:space="preserve">IO-Link Smart Sensors and Process Integration</w:t>
            </w:r>
          </w:p>
        </w:tc>
        <w:tc>
          <w:tcPr>
            <w:tcW w:type="dxa" w:w="1600"/>
            <w:tcBorders>
              <w:top w:val="none" w:color="FFFFFF" w:sz="0"/>
              <w:left w:val="none" w:color="FFFFFF" w:sz="0"/>
              <w:bottom w:val="none" w:color="FFFFFF" w:sz="0"/>
              <w:right w:val="none" w:color="FFFFFF" w:sz="0"/>
            </w:tcBorders>
            <w:shd w:fill="445566" w:val="clear"/>
            <w:tcMar>
              <w:top w:type="dxa" w:w="80"/>
              <w:left w:type="dxa" w:w="120"/>
              <w:bottom w:type="dxa" w:w="80"/>
              <w:right w:type="dxa" w:w="120"/>
            </w:tcMar>
          </w:tcPr>
          <w:p>
            <w:pPr>
              <w:spacing w:after="40" w:before="40"/>
              <w:jc w:val="center"/>
            </w:pPr>
            <w:r>
              <w:rPr>
                <w:rFonts w:ascii="Arial" w:cs="Arial" w:eastAsia="Arial" w:hAnsi="Arial"/>
                <w:b/>
                <w:bCs/>
                <w:i w:val="false"/>
                <w:iCs w:val="false"/>
                <w:color w:val="FFFFFF"/>
                <w:sz w:val="17"/>
                <w:szCs w:val="17"/>
              </w:rPr>
              <w:t xml:space="preserve">PLANNED</w:t>
            </w:r>
          </w:p>
        </w:tc>
      </w:tr>
    </w:tbl>
    <w:p>
      <w:pPr>
        <w:spacing w:after="0" w:before="120"/>
      </w:pPr>
      <w:r>
        <w:t xml:space="preserve"/>
      </w:r>
    </w:p>
    <w:p>
      <w:pPr>
        <w:spacing w:after="120" w:before="0" w:line="320"/>
      </w:pPr>
      <w:r>
        <w:rPr>
          <w:rFonts w:ascii="Arial" w:cs="Arial" w:eastAsia="Arial" w:hAnsi="Arial"/>
          <w:b w:val="false"/>
          <w:bCs w:val="false"/>
          <w:i w:val="false"/>
          <w:iCs w:val="false"/>
          <w:color w:val="1A1A1A"/>
          <w:sz w:val="19"/>
          <w:szCs w:val="19"/>
        </w:rPr>
        <w:t xml:space="preserve">Commission the IFM AL1590 IO-Link master and all four sensors, demonstrate three simultaneous integration patterns, and establish a sensor baseline before predictive maintenance thresholds are configured. The sensor baseline must be established from real operating data — no threshold values are set before 72 hours of baseline data is collected.</w:t>
      </w:r>
    </w:p>
    <w:p>
      <w:pPr>
        <w:spacing w:after="0" w:before="10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Key Activities</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Install IFM AL1590 IO-Link master in operator panel rack — 8-port multiprotocol</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Commission temperature sensor — IO-Link — publishing to UNS</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Commission pressure sensor — IO-Link — publishing to UNS</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Commission flow sensor — IO-Link — publishing to UNS</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Commission vibration sensor — IO-Link — publishing to UNS</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Confirm Integration Pattern 1 — edge device via EPIC Node-RED</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Confirm Integration Pattern 2 — direct EtherNet/IP via CompactLogix L24ER</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Confirm Integration Pattern 3 — direct PROFINET via S7-1200</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Run pump module at normal conditions for minimum 72 hours — collect baseline data in InfluxDB</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Document normal operating ranges for all four sensors</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Define threshold values — deviation from baseline that will trigger maintenance response in Phase 6</w:t>
      </w:r>
    </w:p>
    <w:p>
      <w:pPr>
        <w:spacing w:after="0" w:before="10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Demonstration Value</w:t>
      </w:r>
    </w:p>
    <w:p>
      <w:pPr>
        <w:spacing w:after="120" w:before="0" w:line="320"/>
      </w:pPr>
      <w:r>
        <w:rPr>
          <w:rFonts w:ascii="Arial" w:cs="Arial" w:eastAsia="Arial" w:hAnsi="Arial"/>
          <w:b w:val="false"/>
          <w:bCs w:val="false"/>
          <w:i w:val="false"/>
          <w:iCs w:val="false"/>
          <w:color w:val="1A1A1A"/>
          <w:sz w:val="19"/>
          <w:szCs w:val="19"/>
        </w:rPr>
        <w:t xml:space="preserve">Real process physics — actual fluid, pressure, temperature, and vibration. Three simultaneous IO-Link integration patterns on one physical asset. UNS extensibility demonstrated — operator panel rack added to fully operational 42U system without any reconfiguration of existing data architecture.</w:t>
      </w:r>
    </w:p>
    <w:p>
      <w:pPr>
        <w:spacing w:after="0" w:before="10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Gate Entry Criteria</w:t>
      </w:r>
    </w:p>
    <w:p>
      <w:pPr>
        <w:spacing w:after="120" w:before="0" w:line="320"/>
      </w:pPr>
      <w:r>
        <w:rPr>
          <w:rFonts w:ascii="Arial" w:cs="Arial" w:eastAsia="Arial" w:hAnsi="Arial"/>
          <w:b w:val="false"/>
          <w:bCs w:val="false"/>
          <w:i/>
          <w:iCs/>
          <w:color w:val="445566"/>
          <w:sz w:val="19"/>
          <w:szCs w:val="19"/>
        </w:rPr>
        <w:t xml:space="preserve">All criteria must be satisfied and documented before the next phase is authorized to begin.</w:t>
      </w:r>
    </w:p>
    <w:p>
      <w:pPr>
        <w:spacing w:after="0" w:before="60"/>
      </w:pPr>
      <w:r>
        <w:t xml:space="preserve"/>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IFM AL1590 IO-Link master commissioned — all ports active</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All four sensors operational and publishing to UNS — temperature, pressure, flow, vibration</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Integration Pattern 1 confirmed — edge device via EPIC Node-RED</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Integration Pattern 2 confirmed — direct EtherNet/IP via CompactLogix</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Integration Pattern 3 confirmed — direct PROFINET via S7-1200</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All three integration patterns confirmed simultaneously</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Sensor baseline established — minimum 72 hours normal operation data in InfluxDB</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Baseline values documented — normal operating ranges for all four sensors</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Threshold values defined for all four sensors</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IO-Link configuration committed to version control</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Gate G5 sign-off documented in project record</w:t>
      </w:r>
    </w:p>
    <w:p>
      <w:pPr>
        <w:spacing w:after="0" w:before="2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0"/>
        <w:gridCol w:w="6560"/>
        <w:gridCol w:w="1600"/>
      </w:tblGrid>
      <w:tr>
        <w:tc>
          <w:tcPr>
            <w:tcW w:type="dxa" w:w="1200"/>
            <w:tcBorders>
              <w:top w:val="none" w:color="FFFFFF" w:sz="0"/>
              <w:left w:val="none" w:color="FFFFFF" w:sz="0"/>
              <w:bottom w:val="none" w:color="FFFFFF" w:sz="0"/>
              <w:right w:val="none" w:color="FFFFFF" w:sz="0"/>
            </w:tcBorders>
            <w:shd w:fill="1A3A5C" w:val="clear"/>
            <w:tcMar>
              <w:top w:type="dxa" w:w="80"/>
              <w:left w:type="dxa" w:w="160"/>
              <w:bottom w:type="dxa" w:w="80"/>
              <w:right w:type="dxa" w:w="100"/>
            </w:tcMar>
          </w:tcPr>
          <w:p>
            <w:pPr>
              <w:spacing w:after="40" w:before="40"/>
            </w:pPr>
            <w:r>
              <w:rPr>
                <w:rFonts w:ascii="Arial" w:cs="Arial" w:eastAsia="Arial" w:hAnsi="Arial"/>
                <w:b/>
                <w:bCs/>
                <w:i w:val="false"/>
                <w:iCs w:val="false"/>
                <w:color w:val="00ACC1"/>
                <w:sz w:val="20"/>
                <w:szCs w:val="20"/>
              </w:rPr>
              <w:t xml:space="preserve">GATE G6</w:t>
            </w:r>
          </w:p>
        </w:tc>
        <w:tc>
          <w:tcPr>
            <w:tcW w:type="dxa" w:w="6560"/>
            <w:tcBorders>
              <w:top w:val="none" w:color="FFFFFF" w:sz="0"/>
              <w:left w:val="none" w:color="FFFFFF" w:sz="0"/>
              <w:bottom w:val="none" w:color="FFFFFF" w:sz="0"/>
              <w:right w:val="none" w:color="FFFFFF" w:sz="0"/>
            </w:tcBorders>
            <w:shd w:fill="1F3864" w:val="clear"/>
            <w:tcMar>
              <w:top w:type="dxa" w:w="80"/>
              <w:left w:type="dxa" w:w="160"/>
              <w:bottom w:type="dxa" w:w="80"/>
              <w:right w:type="dxa" w:w="100"/>
            </w:tcMar>
          </w:tcPr>
          <w:p>
            <w:pPr>
              <w:spacing w:after="40" w:before="40"/>
            </w:pPr>
            <w:r>
              <w:rPr>
                <w:rFonts w:ascii="Arial" w:cs="Arial" w:eastAsia="Arial" w:hAnsi="Arial"/>
                <w:b/>
                <w:bCs/>
                <w:i w:val="false"/>
                <w:iCs w:val="false"/>
                <w:color w:val="FFFFFF"/>
                <w:sz w:val="20"/>
                <w:szCs w:val="20"/>
              </w:rPr>
              <w:t xml:space="preserve">Predictive Maintenance and Remote Demonstration</w:t>
            </w:r>
          </w:p>
        </w:tc>
        <w:tc>
          <w:tcPr>
            <w:tcW w:type="dxa" w:w="1600"/>
            <w:tcBorders>
              <w:top w:val="none" w:color="FFFFFF" w:sz="0"/>
              <w:left w:val="none" w:color="FFFFFF" w:sz="0"/>
              <w:bottom w:val="none" w:color="FFFFFF" w:sz="0"/>
              <w:right w:val="none" w:color="FFFFFF" w:sz="0"/>
            </w:tcBorders>
            <w:shd w:fill="445566" w:val="clear"/>
            <w:tcMar>
              <w:top w:type="dxa" w:w="80"/>
              <w:left w:type="dxa" w:w="120"/>
              <w:bottom w:type="dxa" w:w="80"/>
              <w:right w:type="dxa" w:w="120"/>
            </w:tcMar>
          </w:tcPr>
          <w:p>
            <w:pPr>
              <w:spacing w:after="40" w:before="40"/>
              <w:jc w:val="center"/>
            </w:pPr>
            <w:r>
              <w:rPr>
                <w:rFonts w:ascii="Arial" w:cs="Arial" w:eastAsia="Arial" w:hAnsi="Arial"/>
                <w:b/>
                <w:bCs/>
                <w:i w:val="false"/>
                <w:iCs w:val="false"/>
                <w:color w:val="FFFFFF"/>
                <w:sz w:val="17"/>
                <w:szCs w:val="17"/>
              </w:rPr>
              <w:t xml:space="preserve">PLANNED</w:t>
            </w:r>
          </w:p>
        </w:tc>
      </w:tr>
    </w:tbl>
    <w:p>
      <w:pPr>
        <w:spacing w:after="0" w:before="120"/>
      </w:pPr>
      <w:r>
        <w:t xml:space="preserve"/>
      </w:r>
    </w:p>
    <w:p>
      <w:pPr>
        <w:spacing w:after="120" w:before="0" w:line="320"/>
      </w:pPr>
      <w:r>
        <w:rPr>
          <w:rFonts w:ascii="Arial" w:cs="Arial" w:eastAsia="Arial" w:hAnsi="Arial"/>
          <w:b w:val="false"/>
          <w:bCs w:val="false"/>
          <w:i w:val="false"/>
          <w:iCs w:val="false"/>
          <w:color w:val="1A1A1A"/>
          <w:sz w:val="19"/>
          <w:szCs w:val="19"/>
        </w:rPr>
        <w:t xml:space="preserve">Commission the complete predictive maintenance workflow end to end and confirm full remote demonstration capability before the independence exercise begins. The automated work order chain from sensor threshold breach to technician notification must be verified. Remote access must be demonstrated from outside the home network.</w:t>
      </w:r>
    </w:p>
    <w:p>
      <w:pPr>
        <w:spacing w:after="0" w:before="10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Key Activities</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Configure MaintainX CMMS account — asset register complete for all rack equipment</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Build Node-RED MaintainX API flow — authenticated, tested, credentials secured</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Configure sensor thresholds in Node-RED based on established baseline values</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Test threshold breach → work order generation → technician notification end to end</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Verify work order contains correct asset, fault description, and priority</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Configure Tailscale remote access — dashboards and Ignition Perspective accessible</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Install webcam on 42U rack — live visual feed accessible via Tailscale</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Demonstrate operator panel rack as standalone portable unit</w:t>
      </w:r>
    </w:p>
    <w:p>
      <w:pPr>
        <w:spacing w:after="0" w:before="10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Demonstration Value</w:t>
      </w:r>
    </w:p>
    <w:p>
      <w:pPr>
        <w:spacing w:after="120" w:before="0" w:line="320"/>
      </w:pPr>
      <w:r>
        <w:rPr>
          <w:rFonts w:ascii="Arial" w:cs="Arial" w:eastAsia="Arial" w:hAnsi="Arial"/>
          <w:b w:val="false"/>
          <w:bCs w:val="false"/>
          <w:i w:val="false"/>
          <w:iCs w:val="false"/>
          <w:color w:val="1A1A1A"/>
          <w:sz w:val="19"/>
          <w:szCs w:val="19"/>
        </w:rPr>
        <w:t xml:space="preserve">Data driving maintenance action. Complete predictive maintenance workflow — sensor anomaly to automatic work order to technician notification. Live production data visible in real time from any location via Tailscale. Secure remote access with no cloud dependency and no public IP exposure.</w:t>
      </w:r>
    </w:p>
    <w:p>
      <w:pPr>
        <w:spacing w:after="0" w:before="10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Gate Entry Criteria</w:t>
      </w:r>
    </w:p>
    <w:p>
      <w:pPr>
        <w:spacing w:after="120" w:before="0" w:line="320"/>
      </w:pPr>
      <w:r>
        <w:rPr>
          <w:rFonts w:ascii="Arial" w:cs="Arial" w:eastAsia="Arial" w:hAnsi="Arial"/>
          <w:b w:val="false"/>
          <w:bCs w:val="false"/>
          <w:i/>
          <w:iCs/>
          <w:color w:val="445566"/>
          <w:sz w:val="19"/>
          <w:szCs w:val="19"/>
        </w:rPr>
        <w:t xml:space="preserve">All criteria must be satisfied and documented before the next phase is authorized to begin.</w:t>
      </w:r>
    </w:p>
    <w:p>
      <w:pPr>
        <w:spacing w:after="0" w:before="60"/>
      </w:pPr>
      <w:r>
        <w:t xml:space="preserve"/>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MaintainX CMMS configured — asset register complete</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Node-RED MaintainX API flow operational — authenticated and tested</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Sensor threshold configured based on established baseline values</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Threshold breach confirmed to trigger MaintainX work order automatically — tested end to end</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Work order contains correct asset, fault description, and priority</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Technician notification confirmed on threshold breach</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Tailscale remote access confirmed — dashboards and Ignition Perspective accessible from outside home network</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Webcam operational — live visual feed accessible remotely via Tailscale</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Operator panel rack demonstrated as portable standalone unit</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MaintainX flow and configuration committed to version control</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Gate G6 sign-off documented in project record</w:t>
      </w:r>
    </w:p>
    <w:p>
      <w:pPr>
        <w:spacing w:after="0" w:before="2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0"/>
        <w:gridCol w:w="6560"/>
        <w:gridCol w:w="1600"/>
      </w:tblGrid>
      <w:tr>
        <w:tc>
          <w:tcPr>
            <w:tcW w:type="dxa" w:w="1200"/>
            <w:tcBorders>
              <w:top w:val="none" w:color="FFFFFF" w:sz="0"/>
              <w:left w:val="none" w:color="FFFFFF" w:sz="0"/>
              <w:bottom w:val="none" w:color="FFFFFF" w:sz="0"/>
              <w:right w:val="none" w:color="FFFFFF" w:sz="0"/>
            </w:tcBorders>
            <w:shd w:fill="1A3A5C" w:val="clear"/>
            <w:tcMar>
              <w:top w:type="dxa" w:w="80"/>
              <w:left w:type="dxa" w:w="160"/>
              <w:bottom w:type="dxa" w:w="80"/>
              <w:right w:type="dxa" w:w="100"/>
            </w:tcMar>
          </w:tcPr>
          <w:p>
            <w:pPr>
              <w:spacing w:after="40" w:before="40"/>
            </w:pPr>
            <w:r>
              <w:rPr>
                <w:rFonts w:ascii="Arial" w:cs="Arial" w:eastAsia="Arial" w:hAnsi="Arial"/>
                <w:b/>
                <w:bCs/>
                <w:i w:val="false"/>
                <w:iCs w:val="false"/>
                <w:color w:val="00ACC1"/>
                <w:sz w:val="20"/>
                <w:szCs w:val="20"/>
              </w:rPr>
              <w:t xml:space="preserve">GATE G7</w:t>
            </w:r>
          </w:p>
        </w:tc>
        <w:tc>
          <w:tcPr>
            <w:tcW w:type="dxa" w:w="6560"/>
            <w:tcBorders>
              <w:top w:val="none" w:color="FFFFFF" w:sz="0"/>
              <w:left w:val="none" w:color="FFFFFF" w:sz="0"/>
              <w:bottom w:val="none" w:color="FFFFFF" w:sz="0"/>
              <w:right w:val="none" w:color="FFFFFF" w:sz="0"/>
            </w:tcBorders>
            <w:shd w:fill="1F3864" w:val="clear"/>
            <w:tcMar>
              <w:top w:type="dxa" w:w="80"/>
              <w:left w:type="dxa" w:w="160"/>
              <w:bottom w:type="dxa" w:w="80"/>
              <w:right w:type="dxa" w:w="100"/>
            </w:tcMar>
          </w:tcPr>
          <w:p>
            <w:pPr>
              <w:spacing w:after="40" w:before="40"/>
            </w:pPr>
            <w:r>
              <w:rPr>
                <w:rFonts w:ascii="Arial" w:cs="Arial" w:eastAsia="Arial" w:hAnsi="Arial"/>
                <w:b/>
                <w:bCs/>
                <w:i w:val="false"/>
                <w:iCs w:val="false"/>
                <w:color w:val="FFFFFF"/>
                <w:sz w:val="20"/>
                <w:szCs w:val="20"/>
              </w:rPr>
              <w:t xml:space="preserve">Independence Validation and Project Closeout</w:t>
            </w:r>
          </w:p>
        </w:tc>
        <w:tc>
          <w:tcPr>
            <w:tcW w:type="dxa" w:w="1600"/>
            <w:tcBorders>
              <w:top w:val="none" w:color="FFFFFF" w:sz="0"/>
              <w:left w:val="none" w:color="FFFFFF" w:sz="0"/>
              <w:bottom w:val="none" w:color="FFFFFF" w:sz="0"/>
              <w:right w:val="none" w:color="FFFFFF" w:sz="0"/>
            </w:tcBorders>
            <w:shd w:fill="445566" w:val="clear"/>
            <w:tcMar>
              <w:top w:type="dxa" w:w="80"/>
              <w:left w:type="dxa" w:w="120"/>
              <w:bottom w:type="dxa" w:w="80"/>
              <w:right w:type="dxa" w:w="120"/>
            </w:tcMar>
          </w:tcPr>
          <w:p>
            <w:pPr>
              <w:spacing w:after="40" w:before="40"/>
              <w:jc w:val="center"/>
            </w:pPr>
            <w:r>
              <w:rPr>
                <w:rFonts w:ascii="Arial" w:cs="Arial" w:eastAsia="Arial" w:hAnsi="Arial"/>
                <w:b/>
                <w:bCs/>
                <w:i w:val="false"/>
                <w:iCs w:val="false"/>
                <w:color w:val="FFFFFF"/>
                <w:sz w:val="17"/>
                <w:szCs w:val="17"/>
              </w:rPr>
              <w:t xml:space="preserve">PLANNED</w:t>
            </w:r>
          </w:p>
        </w:tc>
      </w:tr>
    </w:tbl>
    <w:p>
      <w:pPr>
        <w:spacing w:after="0" w:before="120"/>
      </w:pPr>
      <w:r>
        <w:t xml:space="preserve"/>
      </w:r>
    </w:p>
    <w:p>
      <w:pPr>
        <w:spacing w:after="120" w:before="0" w:line="320"/>
      </w:pPr>
      <w:r>
        <w:rPr>
          <w:rFonts w:ascii="Arial" w:cs="Arial" w:eastAsia="Arial" w:hAnsi="Arial"/>
          <w:b w:val="false"/>
          <w:bCs w:val="false"/>
          <w:i w:val="false"/>
          <w:iCs w:val="false"/>
          <w:color w:val="1A1A1A"/>
          <w:sz w:val="19"/>
          <w:szCs w:val="19"/>
        </w:rPr>
        <w:t xml:space="preserve">The final and most important gate. A colleague with no prior knowledge of the build performs a structured independence exercise — adding new equipment to the fully operational system using only the project documentation, without integrator assistance. The outcome validates whether the documentation package genuinely enables independent operation. All identified gaps are resolved before the project is formally closed.</w:t>
      </w:r>
    </w:p>
    <w:p>
      <w:pPr>
        <w:spacing w:after="0" w:before="10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Key Activities</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Identify colleague — technical background, no prior knowledge of Loogootee build</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Assemble and verify complete documentation package at current revision</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Deliver documentation to colleague — operations manual, tag naming standard, UNS register, MaintainX concept</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Colleague commissions new equipment and writes program using documentation only — no integrator assistance</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Colleague adds asset to MaintainX independently — using documentation only</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Observe and document independence exercise — record every point of success and every gap</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Resolve all identified documentation gaps</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Complete lessons learned document</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Commit all final program files and configuration to version control</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Complete project archive index</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Execute formal project closeout — gate sign-off</w:t>
      </w:r>
    </w:p>
    <w:p>
      <w:pPr>
        <w:spacing w:after="0" w:before="10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Demonstration Value</w:t>
      </w:r>
    </w:p>
    <w:p>
      <w:pPr>
        <w:spacing w:after="120" w:before="0" w:line="320"/>
      </w:pPr>
      <w:r>
        <w:rPr>
          <w:rFonts w:ascii="Arial" w:cs="Arial" w:eastAsia="Arial" w:hAnsi="Arial"/>
          <w:b w:val="false"/>
          <w:bCs w:val="false"/>
          <w:i w:val="false"/>
          <w:iCs w:val="false"/>
          <w:color w:val="1A1A1A"/>
          <w:sz w:val="19"/>
          <w:szCs w:val="19"/>
        </w:rPr>
        <w:t xml:space="preserve">The Independence Principle demonstrated physically. A colleague with no prior knowledge of the build successfully extends the system using only the project documentation — or the exercise identifies specific documentation gaps that are then resolved. Either outcome is a successful validation. The documentation package is proven sufficient for independent operation.</w:t>
      </w:r>
    </w:p>
    <w:p>
      <w:pPr>
        <w:spacing w:after="0" w:before="10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Gate Entry Criteria</w:t>
      </w:r>
    </w:p>
    <w:p>
      <w:pPr>
        <w:spacing w:after="120" w:before="0" w:line="320"/>
      </w:pPr>
      <w:r>
        <w:rPr>
          <w:rFonts w:ascii="Arial" w:cs="Arial" w:eastAsia="Arial" w:hAnsi="Arial"/>
          <w:b w:val="false"/>
          <w:bCs w:val="false"/>
          <w:i/>
          <w:iCs/>
          <w:color w:val="445566"/>
          <w:sz w:val="19"/>
          <w:szCs w:val="19"/>
        </w:rPr>
        <w:t xml:space="preserve">All criteria must be satisfied and documented before the next phase is authorized to begin.</w:t>
      </w:r>
    </w:p>
    <w:p>
      <w:pPr>
        <w:spacing w:after="0" w:before="60"/>
      </w:pPr>
      <w:r>
        <w:t xml:space="preserve"/>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Independence exercise colleague identified — no prior knowledge of build</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Complete documentation package assembled and verified at current revision</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New equipment selected and physically present for independence exercise</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Colleague commissions new equipment using documentation only — no integrator assistance</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New equipment publishing to UNS — ISA-95 named Sparkplug B metrics verified</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IO-Link sensor data flowing from new device</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New equipment data appearing in Grafana dashboards automatically</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Asset added to MaintainX by colleague independently</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Automated work order generated without integrator involvement</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Line supervisor visibility confirmed — colleague can access all data from dashboard</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Independence exercise observation record complete — successes and gaps documented</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All documentation gaps resolved — documents updated</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Lessons learned document complete</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All program files and configuration at final revision committed to version control</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Project archive index complete and committed to repository</w:t>
      </w:r>
    </w:p>
    <w:p>
      <w:pPr>
        <w:pStyle w:val="ListParagraph"/>
        <w:numPr>
          <w:ilvl w:val="0"/>
          <w:numId w:val="2"/>
        </w:numPr>
        <w:spacing w:after="60" w:before="0"/>
      </w:pPr>
      <w:r>
        <w:rPr>
          <w:rFonts w:ascii="Arial" w:cs="Arial" w:eastAsia="Arial" w:hAnsi="Arial"/>
          <w:b w:val="false"/>
          <w:bCs w:val="false"/>
          <w:i w:val="false"/>
          <w:iCs w:val="false"/>
          <w:color w:val="1A1A1A"/>
          <w:sz w:val="18"/>
          <w:szCs w:val="18"/>
        </w:rPr>
        <w:t xml:space="preserve">Gate G7 sign-off documented — project formally closed</w:t>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240"/>
              <w:bottom w:type="dxa" w:w="100"/>
              <w:right w:type="dxa" w:w="240"/>
            </w:tcMar>
          </w:tcPr>
          <w:p>
            <w:pPr>
              <w:spacing w:after="60" w:before="60"/>
            </w:pPr>
            <w:r>
              <w:rPr>
                <w:rFonts w:ascii="Arial" w:cs="Arial" w:eastAsia="Arial" w:hAnsi="Arial"/>
                <w:b/>
                <w:bCs/>
                <w:i w:val="false"/>
                <w:iCs w:val="false"/>
                <w:color w:val="00ACC1"/>
                <w:sz w:val="22"/>
                <w:szCs w:val="22"/>
              </w:rPr>
              <w:t xml:space="preserve">5.  </w:t>
            </w:r>
            <w:r>
              <w:rPr>
                <w:rFonts w:ascii="Arial" w:cs="Arial" w:eastAsia="Arial" w:hAnsi="Arial"/>
                <w:b/>
                <w:bCs/>
                <w:i w:val="false"/>
                <w:iCs w:val="false"/>
                <w:color w:val="FFFFFF"/>
                <w:sz w:val="22"/>
                <w:szCs w:val="22"/>
              </w:rPr>
              <w:t xml:space="preserve">PHASE STATUS</w:t>
            </w:r>
          </w:p>
        </w:tc>
      </w:tr>
    </w:tbl>
    <w:p>
      <w:pPr>
        <w:spacing w:after="0" w:before="200"/>
      </w:pPr>
      <w:r>
        <w:t xml:space="preserve"/>
      </w:r>
    </w:p>
    <w:p>
      <w:pPr>
        <w:spacing w:after="120" w:before="0" w:line="320"/>
      </w:pPr>
      <w:r>
        <w:rPr>
          <w:rFonts w:ascii="Arial" w:cs="Arial" w:eastAsia="Arial" w:hAnsi="Arial"/>
          <w:b w:val="false"/>
          <w:bCs w:val="false"/>
          <w:i w:val="false"/>
          <w:iCs w:val="false"/>
          <w:color w:val="1A1A1A"/>
          <w:sz w:val="19"/>
          <w:szCs w:val="19"/>
        </w:rPr>
        <w:t xml:space="preserve">This section is updated at each phase completion. Current status reflects the build state as of the document date.</w:t>
      </w:r>
    </w:p>
    <w:p>
      <w:pPr>
        <w:spacing w:after="0" w:before="14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2600"/>
        <w:gridCol w:w="1400"/>
        <w:gridCol w:w="4560"/>
      </w:tblGrid>
      <w:tr>
        <w:tc>
          <w:tcPr>
            <w:tcW w:type="dxa" w:w="8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Gate</w:t>
            </w:r>
          </w:p>
        </w:tc>
        <w:tc>
          <w:tcPr>
            <w:tcW w:type="dxa" w:w="26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Phase Name</w:t>
            </w:r>
          </w:p>
        </w:tc>
        <w:tc>
          <w:tcPr>
            <w:tcW w:type="dxa" w:w="14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Status</w:t>
            </w:r>
          </w:p>
        </w:tc>
        <w:tc>
          <w:tcPr>
            <w:tcW w:type="dxa" w:w="456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Notes</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G0</w:t>
            </w:r>
          </w:p>
        </w:tc>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Project Initiation and Architecture Definition</w:t>
            </w:r>
          </w:p>
        </w:tc>
        <w:tc>
          <w:tcPr>
            <w:tcW w:type="dxa" w:w="1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COMPLETE</w:t>
            </w:r>
          </w:p>
        </w:tc>
        <w:tc>
          <w:tcPr>
            <w:tcW w:type="dxa" w:w="45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All foundation documents produced. Architecture defined. Version control initialized. Nine ADRs documented.</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G1</w:t>
            </w:r>
          </w:p>
        </w:tc>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Controller Commissioning and UNS Integration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IN PROGRESS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All controllers in hand. MGate EIP3170 inbound. 42U rack assembled, all shelves installed. AC breaker shelf nearly complete. Power not yet connected — two 20A circuits pending. Desktop training stand in final build. MicroLogix 1000 program nearly complete.</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G2</w:t>
            </w:r>
          </w:p>
        </w:tc>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IIoT Stack Deployment and Network Security</w:t>
            </w:r>
          </w:p>
        </w:tc>
        <w:tc>
          <w:tcPr>
            <w:tcW w:type="dxa" w:w="1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PLANNED</w:t>
            </w:r>
          </w:p>
        </w:tc>
        <w:tc>
          <w:tcPr>
            <w:tcW w:type="dxa" w:w="45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AOOSTAR NAS in hand — Proxmox pending RAM install from OMEN 16 upgrade. Tailscale replaces WireGuard port forwarding — no public IP exposure.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G3</w:t>
            </w:r>
          </w:p>
        </w:tc>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Production Visibility and Historian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PLANNED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Begins when Gate G2 is passed and full IIoT stack is operational.</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G4</w:t>
            </w:r>
          </w:p>
        </w:tc>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Physical System Expansion and UNS Extensibility</w:t>
            </w:r>
          </w:p>
        </w:tc>
        <w:tc>
          <w:tcPr>
            <w:tcW w:type="dxa" w:w="1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PLANNED</w:t>
            </w:r>
          </w:p>
        </w:tc>
        <w:tc>
          <w:tcPr>
            <w:tcW w:type="dxa" w:w="45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20U or 24U Riveco matching rack to be sourced. groov EPIC-PR1 relocates from 42U rack. PowerFlex 525 for pump motor — EtherNet/IP. IFM AL1590 and pump module components to be sourced.</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G5</w:t>
            </w:r>
          </w:p>
        </w:tc>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IO-Link Smart Sensors and Process Integration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PLANNED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IFM AL1590 confirmed — approximately $300 used. IO-Link sensors to be sourced — IFM preferred. Pump module components TBD.</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G6</w:t>
            </w:r>
          </w:p>
        </w:tc>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Predictive Maintenance and Remote Demonstration</w:t>
            </w:r>
          </w:p>
        </w:tc>
        <w:tc>
          <w:tcPr>
            <w:tcW w:type="dxa" w:w="1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PLANNED</w:t>
            </w:r>
          </w:p>
        </w:tc>
        <w:tc>
          <w:tcPr>
            <w:tcW w:type="dxa" w:w="45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MaintainX account setup at Gate G5 completion. Tailscale remote access configured in Phase 2.</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G7</w:t>
            </w:r>
          </w:p>
        </w:tc>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Independence Validation and Project Closeout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PLANNED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Colleague for independence exercise to be identified. Complete documentation package required before exercise begins.</w:t>
            </w:r>
          </w:p>
        </w:tc>
      </w:tr>
    </w:tbl>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240"/>
              <w:bottom w:type="dxa" w:w="100"/>
              <w:right w:type="dxa" w:w="240"/>
            </w:tcMar>
          </w:tcPr>
          <w:p>
            <w:pPr>
              <w:spacing w:after="60" w:before="60"/>
            </w:pPr>
            <w:r>
              <w:rPr>
                <w:rFonts w:ascii="Arial" w:cs="Arial" w:eastAsia="Arial" w:hAnsi="Arial"/>
                <w:b/>
                <w:bCs/>
                <w:i w:val="false"/>
                <w:iCs w:val="false"/>
                <w:color w:val="00ACC1"/>
                <w:sz w:val="22"/>
                <w:szCs w:val="22"/>
              </w:rPr>
              <w:t xml:space="preserve">6.  </w:t>
            </w:r>
            <w:r>
              <w:rPr>
                <w:rFonts w:ascii="Arial" w:cs="Arial" w:eastAsia="Arial" w:hAnsi="Arial"/>
                <w:b/>
                <w:bCs/>
                <w:i w:val="false"/>
                <w:iCs w:val="false"/>
                <w:color w:val="FFFFFF"/>
                <w:sz w:val="22"/>
                <w:szCs w:val="22"/>
              </w:rPr>
              <w:t xml:space="preserve">GATE SIGN-OFF RECORD</w:t>
            </w:r>
          </w:p>
        </w:tc>
      </w:tr>
    </w:tbl>
    <w:p>
      <w:pPr>
        <w:spacing w:after="0" w:before="200"/>
      </w:pPr>
      <w:r>
        <w:t xml:space="preserve"/>
      </w:r>
    </w:p>
    <w:p>
      <w:pPr>
        <w:spacing w:after="120" w:before="0" w:line="320"/>
      </w:pPr>
      <w:r>
        <w:rPr>
          <w:rFonts w:ascii="Arial" w:cs="Arial" w:eastAsia="Arial" w:hAnsi="Arial"/>
          <w:b w:val="false"/>
          <w:bCs w:val="false"/>
          <w:i w:val="false"/>
          <w:iCs w:val="false"/>
          <w:color w:val="1A1A1A"/>
          <w:sz w:val="19"/>
          <w:szCs w:val="19"/>
        </w:rPr>
        <w:t xml:space="preserve">This section records the formal passage of each gate. Gate sign-off confirms that all entry criteria were satisfied and documents the date of passage, any conditions noted, and the confirmation of authorization to proceed to the next phase.</w:t>
      </w:r>
    </w:p>
    <w:p>
      <w:pPr>
        <w:spacing w:after="0" w:before="14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2600"/>
        <w:gridCol w:w="1400"/>
        <w:gridCol w:w="1400"/>
        <w:gridCol w:w="3160"/>
      </w:tblGrid>
      <w:tr>
        <w:tc>
          <w:tcPr>
            <w:tcW w:type="dxa" w:w="8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Gate</w:t>
            </w:r>
          </w:p>
        </w:tc>
        <w:tc>
          <w:tcPr>
            <w:tcW w:type="dxa" w:w="26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Phase Name</w:t>
            </w:r>
          </w:p>
        </w:tc>
        <w:tc>
          <w:tcPr>
            <w:tcW w:type="dxa" w:w="14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Date Passed</w:t>
            </w:r>
          </w:p>
        </w:tc>
        <w:tc>
          <w:tcPr>
            <w:tcW w:type="dxa" w:w="14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Sign-Off</w:t>
            </w:r>
          </w:p>
        </w:tc>
        <w:tc>
          <w:tcPr>
            <w:tcW w:type="dxa" w:w="316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Notes</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G0</w:t>
            </w:r>
          </w:p>
        </w:tc>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Project Initiation and Architecture Definition</w:t>
            </w:r>
          </w:p>
        </w:tc>
        <w:tc>
          <w:tcPr>
            <w:tcW w:type="dxa" w:w="1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April 2026</w:t>
            </w:r>
          </w:p>
        </w:tc>
        <w:tc>
          <w:tcPr>
            <w:tcW w:type="dxa" w:w="1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J. Field</w:t>
            </w:r>
          </w:p>
        </w:tc>
        <w:tc>
          <w:tcPr>
            <w:tcW w:type="dxa" w:w="31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Foundation documents complete. Architecture defined. Nine ADRs documented. Version control initialized.</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G1</w:t>
            </w:r>
          </w:p>
        </w:tc>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Controller Commissioning and UNS Integration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w:t>
            </w:r>
          </w:p>
        </w:tc>
        <w:tc>
          <w:tcPr>
            <w:tcW w:type="dxa" w:w="3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G2</w:t>
            </w:r>
          </w:p>
        </w:tc>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IIoT Stack Deployment and Network Security</w:t>
            </w:r>
          </w:p>
        </w:tc>
        <w:tc>
          <w:tcPr>
            <w:tcW w:type="dxa" w:w="1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w:t>
            </w:r>
          </w:p>
        </w:tc>
        <w:tc>
          <w:tcPr>
            <w:tcW w:type="dxa" w:w="1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w:t>
            </w:r>
          </w:p>
        </w:tc>
        <w:tc>
          <w:tcPr>
            <w:tcW w:type="dxa" w:w="31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G3</w:t>
            </w:r>
          </w:p>
        </w:tc>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Production Visibility and Historian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w:t>
            </w:r>
          </w:p>
        </w:tc>
        <w:tc>
          <w:tcPr>
            <w:tcW w:type="dxa" w:w="3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G4</w:t>
            </w:r>
          </w:p>
        </w:tc>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Physical System Expansion and UNS Extensibility</w:t>
            </w:r>
          </w:p>
        </w:tc>
        <w:tc>
          <w:tcPr>
            <w:tcW w:type="dxa" w:w="1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w:t>
            </w:r>
          </w:p>
        </w:tc>
        <w:tc>
          <w:tcPr>
            <w:tcW w:type="dxa" w:w="1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w:t>
            </w:r>
          </w:p>
        </w:tc>
        <w:tc>
          <w:tcPr>
            <w:tcW w:type="dxa" w:w="31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G5</w:t>
            </w:r>
          </w:p>
        </w:tc>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IO-Link Smart Sensors and Process Integration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w:t>
            </w:r>
          </w:p>
        </w:tc>
        <w:tc>
          <w:tcPr>
            <w:tcW w:type="dxa" w:w="3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G6</w:t>
            </w:r>
          </w:p>
        </w:tc>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Predictive Maintenance and Remote Demonstration</w:t>
            </w:r>
          </w:p>
        </w:tc>
        <w:tc>
          <w:tcPr>
            <w:tcW w:type="dxa" w:w="1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w:t>
            </w:r>
          </w:p>
        </w:tc>
        <w:tc>
          <w:tcPr>
            <w:tcW w:type="dxa" w:w="1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w:t>
            </w:r>
          </w:p>
        </w:tc>
        <w:tc>
          <w:tcPr>
            <w:tcW w:type="dxa" w:w="31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G7</w:t>
            </w:r>
          </w:p>
        </w:tc>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Independence Validation and Project Closeout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w:t>
            </w:r>
          </w:p>
        </w:tc>
        <w:tc>
          <w:tcPr>
            <w:tcW w:type="dxa" w:w="3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
            </w:r>
          </w:p>
        </w:tc>
      </w:tr>
    </w:tbl>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240"/>
              <w:bottom w:type="dxa" w:w="100"/>
              <w:right w:type="dxa" w:w="240"/>
            </w:tcMar>
          </w:tcPr>
          <w:p>
            <w:pPr>
              <w:spacing w:after="60" w:before="60"/>
            </w:pPr>
            <w:r>
              <w:rPr>
                <w:rFonts w:ascii="Arial" w:cs="Arial" w:eastAsia="Arial" w:hAnsi="Arial"/>
                <w:b/>
                <w:bCs/>
                <w:i w:val="false"/>
                <w:iCs w:val="false"/>
                <w:color w:val="00ACC1"/>
                <w:sz w:val="22"/>
                <w:szCs w:val="22"/>
              </w:rPr>
              <w:t xml:space="preserve">7.  </w:t>
            </w:r>
            <w:r>
              <w:rPr>
                <w:rFonts w:ascii="Arial" w:cs="Arial" w:eastAsia="Arial" w:hAnsi="Arial"/>
                <w:b/>
                <w:bCs/>
                <w:i w:val="false"/>
                <w:iCs w:val="false"/>
                <w:color w:val="FFFFFF"/>
                <w:sz w:val="22"/>
                <w:szCs w:val="22"/>
              </w:rPr>
              <w:t xml:space="preserve">DOCUMENT INFORMATION</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Document Title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42U Multi-Platform Training Rack — Phased Development Plan</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Project</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Loogootee Manufacturing Training Simulation</w:t>
            </w:r>
          </w:p>
        </w:tc>
      </w:tr>
      <w:tr>
        <w:tc>
          <w:tcPr>
            <w:tcW w:type="dxa" w:w="26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Author</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Jeremy Field — Senior Automation Technician</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Version</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1.2 — Revised April 2026</w:t>
            </w:r>
          </w:p>
        </w:tc>
      </w:tr>
      <w:tr>
        <w:tc>
          <w:tcPr>
            <w:tcW w:type="dxa" w:w="26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Date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April 2026</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Repository</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github.com/JeremySField/loogootee-mfg-training-simulation</w:t>
            </w:r>
          </w:p>
        </w:tc>
      </w:tr>
      <w:tr>
        <w:tc>
          <w:tcPr>
            <w:tcW w:type="dxa" w:w="26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Update Cadence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Updated at each phase completion to reflect current status and lessons learned</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Related Documents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Project Status and Open Revisions (living document — phase gate criteria detail) · IIoT Architecture Decision Record · IIoT Data Layer Architecture · ISA-95 Tag Naming Standard</w:t>
            </w:r>
          </w:p>
        </w:tc>
      </w:tr>
    </w:tbl>
    <w:p>
      <w:pPr>
        <w:spacing w:after="0" w:before="20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Revision History</w:t>
      </w:r>
    </w:p>
    <w:p>
      <w:pPr>
        <w:spacing w:after="0" w:before="1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1400"/>
        <w:gridCol w:w="2200"/>
        <w:gridCol w:w="4960"/>
      </w:tblGrid>
      <w:tr>
        <w:tc>
          <w:tcPr>
            <w:tcW w:type="dxa" w:w="8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Rev</w:t>
            </w:r>
          </w:p>
        </w:tc>
        <w:tc>
          <w:tcPr>
            <w:tcW w:type="dxa" w:w="14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Date</w:t>
            </w:r>
          </w:p>
        </w:tc>
        <w:tc>
          <w:tcPr>
            <w:tcW w:type="dxa" w:w="22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Author</w:t>
            </w:r>
          </w:p>
        </w:tc>
        <w:tc>
          <w:tcPr>
            <w:tcW w:type="dxa" w:w="496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Description</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1.0</w:t>
            </w:r>
          </w:p>
        </w:tc>
        <w:tc>
          <w:tcPr>
            <w:tcW w:type="dxa" w:w="1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March 2026</w:t>
            </w:r>
          </w:p>
        </w:tc>
        <w:tc>
          <w:tcPr>
            <w:tcW w:type="dxa" w:w="22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Jeremy Field</w:t>
            </w:r>
          </w:p>
        </w:tc>
        <w:tc>
          <w:tcPr>
            <w:tcW w:type="dxa" w:w="49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Initial release. Six-phase plan. Site 2 assigned Siemens S7-1200 units.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April 2026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Jeremy Field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Controller assignments corrected — Wago PFC200 as Site 2, S7-1200 units at Site 1. Phase 3 updated to operator panel rack build. Phase 4 updated to IFM AL1590. Telegraf added to stack. Protocol count 14 → 13. WireGuard removed — replaced by Tailscale in Phase 2.</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1.2</w:t>
            </w:r>
          </w:p>
        </w:tc>
        <w:tc>
          <w:tcPr>
            <w:tcW w:type="dxa" w:w="1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April 2026</w:t>
            </w:r>
          </w:p>
        </w:tc>
        <w:tc>
          <w:tcPr>
            <w:tcW w:type="dxa" w:w="22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Jeremy Field</w:t>
            </w:r>
          </w:p>
        </w:tc>
        <w:tc>
          <w:tcPr>
            <w:tcW w:type="dxa" w:w="49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Restructured to eight-phase gate model. Phase names locked G0-G7. Gate entry criteria added to each phase. Gate sign-off record table added (Section 6). Phase 2 expanded to include NAS commissioning, full stack deployment, Tailscale remote access, and network security verification. PowerFlex inventory updated — PowerFlex 4 ×1 in 42U rack, PowerFlex 525 ×1 in operator panel rack. Phase 7 Independence Validation and Project Closeout added as final gate.</w:t>
            </w:r>
          </w:p>
        </w:tc>
      </w:tr>
    </w:tbl>
    <w:sectPr>
      <w:headerReference w:type="default" r:id="rId7"/>
      <w:footerReference w:type="default" r:id="rId8"/>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ACC1" w:sz="4" w:space="4"/>
      </w:pBdr>
      <w:tabs>
        <w:tab w:val="right" w:pos="9360"/>
      </w:tabs>
      <w:spacing w:after="0" w:before="120"/>
    </w:pPr>
    <w:r>
      <w:rPr>
        <w:rFonts w:ascii="Arial" w:cs="Arial" w:eastAsia="Arial" w:hAnsi="Arial"/>
        <w:b w:val="false"/>
        <w:bCs w:val="false"/>
        <w:i w:val="false"/>
        <w:iCs w:val="false"/>
        <w:color w:val="445566"/>
        <w:sz w:val="16"/>
        <w:szCs w:val="16"/>
      </w:rPr>
      <w:t xml:space="preserve">Jeremy Field  ·  Senior Automation Technician  ·  Version 1.2  ·  April 2026</w:t>
    </w:r>
    <w:r>
      <w:rPr>
        <w:rFonts w:ascii="Arial" w:cs="Arial" w:eastAsia="Arial" w:hAnsi="Arial"/>
      </w:rPr>
      <w:t xml:space="preserve">	</w:t>
    </w:r>
    <w:r>
      <w:rPr>
        <w:rFonts w:ascii="Arial" w:cs="Arial" w:eastAsia="Arial" w:hAnsi="Arial"/>
        <w:b w:val="false"/>
        <w:bCs w:val="false"/>
        <w:i w:val="false"/>
        <w:iCs w:val="false"/>
        <w:color w:val="445566"/>
        <w:sz w:val="16"/>
        <w:szCs w:val="16"/>
      </w:rPr>
      <w:t xml:space="preserve">Page </w:t>
    </w:r>
    <w:r>
      <w:rPr>
        <w:rFonts w:ascii="Arial" w:cs="Arial" w:eastAsia="Arial" w:hAnsi="Arial"/>
        <w:color w:val="4455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FAB" w:sz="4" w:space="4"/>
      </w:pBdr>
      <w:tabs>
        <w:tab w:val="right" w:pos="9360"/>
      </w:tabs>
      <w:spacing w:after="120" w:before="0"/>
    </w:pPr>
    <w:r>
      <w:rPr>
        <w:rFonts w:ascii="Arial" w:cs="Arial" w:eastAsia="Arial" w:hAnsi="Arial"/>
        <w:b w:val="false"/>
        <w:bCs w:val="false"/>
        <w:i w:val="false"/>
        <w:iCs w:val="false"/>
        <w:color w:val="445566"/>
        <w:sz w:val="16"/>
        <w:szCs w:val="16"/>
      </w:rPr>
      <w:t xml:space="preserve">LOOGOOTEE MFG. — TRAINING SIMULATION</w:t>
    </w:r>
    <w:r>
      <w:rPr>
        <w:rFonts w:ascii="Arial" w:cs="Arial" w:eastAsia="Arial" w:hAnsi="Arial"/>
      </w:rPr>
      <w:t xml:space="preserve">	</w:t>
    </w:r>
    <w:r>
      <w:rPr>
        <w:rFonts w:ascii="Arial" w:cs="Arial" w:eastAsia="Arial" w:hAnsi="Arial"/>
        <w:b w:val="false"/>
        <w:bCs w:val="false"/>
        <w:i w:val="false"/>
        <w:iCs w:val="false"/>
        <w:color w:val="445566"/>
        <w:sz w:val="16"/>
        <w:szCs w:val="16"/>
      </w:rPr>
      <w:t xml:space="preserve">PHASED DEVELOPMENT PLAN  ·  REV 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2026-04-20T00:52:13.647Z</dcterms:created>
  <dcterms:modified xsi:type="dcterms:W3CDTF">2026-04-20T00:52:13.648Z</dcterms:modified>
</cp:coreProperties>
</file>

<file path=docProps/custom.xml><?xml version="1.0" encoding="utf-8"?>
<Properties xmlns="http://schemas.openxmlformats.org/officeDocument/2006/custom-properties" xmlns:vt="http://schemas.openxmlformats.org/officeDocument/2006/docPropsVTypes"/>
</file>