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F3864" w:val="clear"/>
            <w:tcMar>
              <w:top w:type="dxa" w:w="240"/>
              <w:left w:type="dxa" w:w="240"/>
              <w:bottom w:type="dxa" w:w="240"/>
              <w:right w:type="dxa" w:w="240"/>
            </w:tcMar>
          </w:tcPr>
          <w:p>
            <w:pPr>
              <w:jc w:val="center"/>
            </w:pPr>
            <w:r>
              <w:rPr>
                <w:rFonts w:ascii="Arial" w:cs="Arial" w:eastAsia="Arial" w:hAnsi="Arial"/>
                <w:b/>
                <w:bCs/>
                <w:color w:val="D5E8F0"/>
                <w:sz w:val="22"/>
                <w:szCs w:val="22"/>
              </w:rPr>
              <w:t xml:space="preserve">42U MULTI-PLATFORM TRAINING RACK</w:t>
            </w:r>
          </w:p>
          <w:p>
            <w:pPr>
              <w:spacing w:before="60"/>
              <w:jc w:val="center"/>
            </w:pPr>
            <w:r>
              <w:rPr>
                <w:rFonts w:ascii="Arial" w:cs="Arial" w:eastAsia="Arial" w:hAnsi="Arial"/>
                <w:b/>
                <w:bCs/>
                <w:color w:val="FFFFFF"/>
                <w:sz w:val="40"/>
                <w:szCs w:val="40"/>
              </w:rPr>
              <w:t xml:space="preserve">PHASED DEVELOPMENT PLAN</w:t>
            </w:r>
          </w:p>
          <w:p>
            <w:pPr>
              <w:spacing w:before="120"/>
              <w:jc w:val="center"/>
            </w:pPr>
            <w:r>
              <w:rPr>
                <w:rFonts w:ascii="Arial" w:cs="Arial" w:eastAsia="Arial" w:hAnsi="Arial"/>
                <w:i/>
                <w:iCs/>
                <w:color w:val="D5E8F0"/>
                <w:sz w:val="20"/>
                <w:szCs w:val="20"/>
              </w:rPr>
              <w:t xml:space="preserve">Jeremy Field  ·  Senior Automation Technician</w:t>
            </w:r>
          </w:p>
          <w:p>
            <w:pPr>
              <w:jc w:val="center"/>
            </w:pPr>
            <w:r>
              <w:rPr>
                <w:rFonts w:ascii="Arial" w:cs="Arial" w:eastAsia="Arial" w:hAnsi="Arial"/>
                <w:i/>
                <w:iCs/>
                <w:color w:val="D5E8F0"/>
                <w:sz w:val="18"/>
                <w:szCs w:val="18"/>
              </w:rPr>
              <w:t xml:space="preserve">Milwaukee, Wisconsin  ·  2026</w:t>
            </w:r>
          </w:p>
          <w:p>
            <w:pPr>
              <w:jc w:val="center"/>
            </w:pPr>
            <w:r>
              <w:rPr>
                <w:rFonts w:ascii="Arial" w:cs="Arial" w:eastAsia="Arial" w:hAnsi="Arial"/>
                <w:i/>
                <w:iCs/>
                <w:color w:val="D5E8F0"/>
                <w:sz w:val="18"/>
                <w:szCs w:val="18"/>
              </w:rPr>
              <w:t xml:space="preserve">Document Version 1.1  ·  Living Document — Updated at Each Phase Completion</w:t>
            </w:r>
          </w:p>
        </w:tc>
      </w:tr>
    </w:tbl>
    <w:p>
      <w:pPr>
        <w:spacing w:after="0" w:before="100"/>
      </w:pPr>
    </w:p>
    <w:p>
      <w:pPr>
        <w:pBdr>
          <w:bottom w:val="single" w:color="1F3864" w:sz="6" w:space="1"/>
        </w:pBdr>
        <w:spacing w:after="120" w:before="320"/>
      </w:pPr>
      <w:r>
        <w:rPr>
          <w:rFonts w:ascii="Arial" w:cs="Arial" w:eastAsia="Arial" w:hAnsi="Arial"/>
          <w:b/>
          <w:bCs/>
          <w:color w:val="1F3864"/>
          <w:sz w:val="24"/>
          <w:szCs w:val="24"/>
        </w:rPr>
        <w:t xml:space="preserve">1.  Project Overview</w:t>
      </w:r>
    </w:p>
    <w:p>
      <w:pPr>
        <w:spacing w:after="80" w:before="80"/>
      </w:pPr>
      <w:r>
        <w:rPr>
          <w:rFonts w:ascii="Arial" w:cs="Arial" w:eastAsia="Arial" w:hAnsi="Arial"/>
          <w:sz w:val="20"/>
          <w:szCs w:val="20"/>
        </w:rPr>
        <w:t xml:space="preserve">The 42U Multi-Platform Training Rack is a purpose-built industrial automation and IIoT integration training and demonstration platform. It simulates a two-site precision metal stamping manufacturing operation — Loogootee Manufacturing, Inc. — running 11 controllers across 5 vendors, 13 communication protocols, and a complete IIoT data stack publishing real-time production data to a Unified Namespace.</w:t>
      </w:r>
    </w:p>
    <w:p>
      <w:pPr>
        <w:spacing w:after="80" w:before="80"/>
      </w:pPr>
      <w:r>
        <w:rPr>
          <w:rFonts w:ascii="Arial" w:cs="Arial" w:eastAsia="Arial" w:hAnsi="Arial"/>
          <w:sz w:val="20"/>
          <w:szCs w:val="20"/>
        </w:rPr>
        <w:t xml:space="preserve">The rack serves four concurrent purposes: multi-platform PLC programming proficiency development, IIoT architecture validation, professional portfolio demonstration, and YouTube tutorial content production. It is designed to evolve through six defined phases, each adding capability without disrupting what was built in the phases before it.</w:t>
      </w:r>
    </w:p>
    <w:p>
      <w:pPr>
        <w:spacing w:after="80" w:before="80"/>
      </w:pPr>
      <w:r>
        <w:rPr>
          <w:rFonts w:ascii="Arial" w:cs="Arial" w:eastAsia="Arial" w:hAnsi="Arial"/>
          <w:sz w:val="20"/>
          <w:szCs w:val="20"/>
        </w:rPr>
        <w:t xml:space="preserve">The build philosophy mirrors the practice methodology it demonstrates — deliberate, documented, executed in phases, and designed from the start for the person who has to operate and maintain it after the builder has moved on. In this case, that person is also the builder.</w:t>
      </w:r>
    </w:p>
    <w:p>
      <w:pPr>
        <w:pBdr>
          <w:bottom w:val="single" w:color="1F3864" w:sz="6" w:space="1"/>
        </w:pBdr>
        <w:spacing w:after="120" w:before="320"/>
      </w:pPr>
      <w:r>
        <w:rPr>
          <w:rFonts w:ascii="Arial" w:cs="Arial" w:eastAsia="Arial" w:hAnsi="Arial"/>
          <w:b/>
          <w:bCs/>
          <w:color w:val="1F3864"/>
          <w:sz w:val="24"/>
          <w:szCs w:val="24"/>
        </w:rPr>
        <w:t xml:space="preserve">2.  Platform Summary</w:t>
      </w:r>
    </w:p>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gridSpan w:val="1"/>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Controllers</w:t>
            </w:r>
          </w:p>
        </w:tc>
        <w:tc>
          <w:tcPr>
            <w:tcW w:type="dxa" w:w="2340"/>
            <w:gridSpan w:val="1"/>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Protocols</w:t>
            </w:r>
          </w:p>
        </w:tc>
        <w:tc>
          <w:tcPr>
            <w:tcW w:type="dxa" w:w="2340"/>
            <w:gridSpan w:val="1"/>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Vendors</w:t>
            </w:r>
          </w:p>
        </w:tc>
        <w:tc>
          <w:tcPr>
            <w:tcW w:type="dxa" w:w="2340"/>
            <w:gridSpan w:val="1"/>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IIoT Stack</w:t>
            </w:r>
          </w:p>
        </w:tc>
      </w:tr>
      <w:tr>
        <w:tc>
          <w:tcPr>
            <w:tcW w:type="dxa" w:w="234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11 controllers</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EtherNet/IP</w:t>
            </w:r>
          </w:p>
        </w:tc>
        <w:tc>
          <w:tcPr>
            <w:tcW w:type="dxa" w:w="234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Allen-Bradley</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Mosquitto MQTT broker</w:t>
            </w:r>
          </w:p>
        </w:tc>
      </w:tr>
      <w:tr>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5 Allen-Bradley</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PROFINET / PROFIBUS</w:t>
            </w:r>
          </w:p>
        </w:tc>
        <w:tc>
          <w:tcPr>
            <w:tcW w:type="dxa" w:w="234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Siemens</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Node-RED protocol bridging / orchestration</w:t>
            </w:r>
          </w:p>
        </w:tc>
      </w:tr>
      <w:tr>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2 Siemens</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Modbus TCP / RTU</w:t>
            </w:r>
          </w:p>
        </w:tc>
        <w:tc>
          <w:tcPr>
            <w:tcW w:type="dxa" w:w="234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Beckhoff</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Telegraf broker-to-historian bridge</w:t>
            </w:r>
          </w:p>
        </w:tc>
      </w:tr>
      <w:tr>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1 Beckhoff</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OPC-UA</w:t>
            </w:r>
          </w:p>
        </w:tc>
        <w:tc>
          <w:tcPr>
            <w:tcW w:type="dxa" w:w="234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Opto22</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InfluxDB time series historian</w:t>
            </w:r>
          </w:p>
        </w:tc>
      </w:tr>
      <w:tr>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1 Opto22</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EtherCAT</w:t>
            </w:r>
          </w:p>
        </w:tc>
        <w:tc>
          <w:tcPr>
            <w:tcW w:type="dxa" w:w="234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Wago</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Grafana dashboards</w:t>
            </w:r>
          </w:p>
        </w:tc>
      </w:tr>
      <w:tr>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1 Wago</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DF1 / DH-485 / CIP</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Ignition SCADA</w:t>
            </w:r>
          </w:p>
        </w:tc>
      </w:tr>
      <w:tr>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1 Raspberry Pi</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Sparkplug B / UNS · ISA-95</w:t>
            </w:r>
          </w:p>
        </w:tc>
      </w:tr>
    </w:tbl>
    <w:p>
      <w:pPr>
        <w:pBdr>
          <w:bottom w:val="single" w:color="1F3864" w:sz="6" w:space="1"/>
        </w:pBdr>
        <w:spacing w:after="120" w:before="320"/>
      </w:pPr>
      <w:r>
        <w:rPr>
          <w:rFonts w:ascii="Arial" w:cs="Arial" w:eastAsia="Arial" w:hAnsi="Arial"/>
          <w:b/>
          <w:bCs/>
          <w:color w:val="1F3864"/>
          <w:sz w:val="24"/>
          <w:szCs w:val="24"/>
        </w:rPr>
        <w:t xml:space="preserve">3.  Phased Development Plan</w:t>
      </w:r>
    </w:p>
    <w:p>
      <w:pPr>
        <w:spacing w:after="80" w:before="80"/>
      </w:pPr>
      <w:r>
        <w:rPr>
          <w:rFonts w:ascii="Arial" w:cs="Arial" w:eastAsia="Arial" w:hAnsi="Arial"/>
          <w:sz w:val="20"/>
          <w:szCs w:val="20"/>
        </w:rPr>
        <w:t xml:space="preserve">Each phase is complete and stable before the next phase begins. No phase introduces risk to the capability established in previous phases. Hardware and software additions are additive — nothing is removed or replaced between phases.</w:t>
      </w:r>
    </w:p>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200"/>
        <w:gridCol w:w="3400"/>
        <w:gridCol w:w="3200"/>
      </w:tblGrid>
      <w:tr>
        <w:tc>
          <w:tcPr>
            <w:tcW w:type="dxa" w:w="560"/>
            <w:gridSpan w:val="1"/>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Phase</w:t>
            </w:r>
          </w:p>
        </w:tc>
        <w:tc>
          <w:tcPr>
            <w:tcW w:type="dxa" w:w="2200"/>
            <w:gridSpan w:val="1"/>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Focus</w:t>
            </w:r>
          </w:p>
        </w:tc>
        <w:tc>
          <w:tcPr>
            <w:tcW w:type="dxa" w:w="3400"/>
            <w:gridSpan w:val="1"/>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Key Activities</w:t>
            </w:r>
          </w:p>
        </w:tc>
        <w:tc>
          <w:tcPr>
            <w:tcW w:type="dxa" w:w="3200"/>
            <w:gridSpan w:val="1"/>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Demonstration Value</w:t>
            </w:r>
          </w:p>
        </w:tc>
      </w:tr>
      <w:tr>
        <w:tc>
          <w:tcPr>
            <w:tcW w:type="dxa" w:w="560"/>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pPr>
              <w:jc w:val="center"/>
            </w:pPr>
            <w:r>
              <w:rPr>
                <w:rFonts w:ascii="Arial" w:cs="Arial" w:eastAsia="Arial" w:hAnsi="Arial"/>
                <w:b/>
                <w:bCs/>
                <w:color w:val="FFFFFF"/>
                <w:sz w:val="24"/>
                <w:szCs w:val="24"/>
              </w:rPr>
              <w:t xml:space="preserve">1</w:t>
            </w:r>
          </w:p>
        </w:tc>
        <w:tc>
          <w:tcPr>
            <w:tcW w:type="dxa" w:w="22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Controllers programmed — simulation running — data to UNS</w:t>
            </w:r>
          </w:p>
        </w:tc>
        <w:tc>
          <w:tcPr>
            <w:tcW w:type="dxa" w:w="34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All 11 controllers commissioned and programmed. Simulated production routines running on all platforms. All data publishing ISA-95 named Sparkplug B metrics to Unified Namespace via Mosquitto broker.</w:t>
            </w:r>
          </w:p>
        </w:tc>
        <w:tc>
          <w:tcPr>
            <w:tcW w:type="dxa" w:w="32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Multi-platform IIoT integration capability across 5 vendors and 13 protocols. Complete OT data layer operational.</w:t>
            </w:r>
          </w:p>
        </w:tc>
      </w:tr>
      <w:tr>
        <w:tc>
          <w:tcPr>
            <w:tcW w:type="dxa" w:w="560"/>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pPr>
              <w:jc w:val="center"/>
            </w:pPr>
            <w:r>
              <w:rPr>
                <w:rFonts w:ascii="Arial" w:cs="Arial" w:eastAsia="Arial" w:hAnsi="Arial"/>
                <w:b/>
                <w:bCs/>
                <w:color w:val="FFFFFF"/>
                <w:sz w:val="24"/>
                <w:szCs w:val="24"/>
              </w:rPr>
              <w:t xml:space="preserve">2</w:t>
            </w:r>
          </w:p>
        </w:tc>
        <w:tc>
          <w:tcPr>
            <w:tcW w:type="dxa" w:w="22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Dashboard and historian</w:t>
            </w:r>
          </w:p>
        </w:tc>
        <w:tc>
          <w:tcPr>
            <w:tcW w:type="dxa" w:w="34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InfluxDB time series historian built for all machines and both sites. InfluxDB historian accumulating shift and production data. OEE visible in real time for every production machine. Basic reporting and trend visualization operational.</w:t>
            </w:r>
          </w:p>
        </w:tc>
        <w:tc>
          <w:tcPr>
            <w:tcW w:type="dxa" w:w="32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Production data infrastructure operational. Live OEE, downtime trending, shift reporting, and cross-site production visibility demonstrated end to end.</w:t>
            </w:r>
          </w:p>
        </w:tc>
      </w:tr>
      <w:tr>
        <w:tc>
          <w:tcPr>
            <w:tcW w:type="dxa" w:w="560"/>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pPr>
              <w:jc w:val="center"/>
            </w:pPr>
            <w:r>
              <w:rPr>
                <w:rFonts w:ascii="Arial" w:cs="Arial" w:eastAsia="Arial" w:hAnsi="Arial"/>
                <w:b/>
                <w:bCs/>
                <w:color w:val="FFFFFF"/>
                <w:sz w:val="24"/>
                <w:szCs w:val="24"/>
              </w:rPr>
              <w:t xml:space="preserve">3</w:t>
            </w:r>
          </w:p>
        </w:tc>
        <w:tc>
          <w:tcPr>
            <w:tcW w:type="dxa" w:w="22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Operator panel rack — mobile demonstration unit</w:t>
            </w:r>
          </w:p>
        </w:tc>
        <w:tc>
          <w:tcPr>
            <w:tcW w:type="dxa" w:w="34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Source and build 20U or 24U operator panel rack. Houses groov EPIC-PR1, PanelView 800, TBD 10” HMI, physical operator I/O (pushbuttons, pilot lights, E-stop), PowerFlex VFD, IFM AL1590 IO-Link master, pump module (pump, motor, reservoir, piping), and IO-Link sensors. 42U rack stays intact. AOOSTAR NAS sits adjacent to rack. Self-contained unit — operates standalone or connected to 42U rack.</w:t>
            </w:r>
          </w:p>
        </w:tc>
        <w:tc>
          <w:tcPr>
            <w:tcW w:type="dxa" w:w="32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Portable standalone demonstration unit for client demonstrations. Demonstrates groov View real-time HMI, physical process control via VFD, and IO-Link sensor integration. When connected to the 42U rack demonstrates UNS extensibility — new equipment integrates into fully operational system without reconfiguring existing data architecture.</w:t>
            </w:r>
          </w:p>
        </w:tc>
      </w:tr>
      <w:tr>
        <w:tc>
          <w:tcPr>
            <w:tcW w:type="dxa" w:w="560"/>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pPr>
              <w:jc w:val="center"/>
            </w:pPr>
            <w:r>
              <w:rPr>
                <w:rFonts w:ascii="Arial" w:cs="Arial" w:eastAsia="Arial" w:hAnsi="Arial"/>
                <w:b/>
                <w:bCs/>
                <w:color w:val="FFFFFF"/>
                <w:sz w:val="24"/>
                <w:szCs w:val="24"/>
              </w:rPr>
              <w:t xml:space="preserve">4</w:t>
            </w:r>
          </w:p>
        </w:tc>
        <w:tc>
          <w:tcPr>
            <w:tcW w:type="dxa" w:w="22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IO-Link smart sensors</w:t>
            </w:r>
          </w:p>
        </w:tc>
        <w:tc>
          <w:tcPr>
            <w:tcW w:type="dxa" w:w="34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IFM AL1590 IO-Link master operational in operator panel rack. Temperature, pressure, flow, and vibration sensors on pump module publishing to UNS alongside PLC simulation data. Three simultaneous integration patterns demonstrated — edge device via EPIC Node-RED, direct EtherNet/IP via CompactLogix, direct PROFINET via S7-1200. No existing programs modified.</w:t>
            </w:r>
          </w:p>
        </w:tc>
        <w:tc>
          <w:tcPr>
            <w:tcW w:type="dxa" w:w="32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Non-invasive smart sensor integration demonstrated physically with real process physics — actual fluid, pressure, temperature, and vibration. Three simultaneous integration patterns on one physical asset. UNS extensibility demonstrated — operator panel rack added to fully operational 42U system without any reconfiguration of existing data architecture.</w:t>
            </w:r>
          </w:p>
        </w:tc>
      </w:tr>
      <w:tr>
        <w:tc>
          <w:tcPr>
            <w:tcW w:type="dxa" w:w="560"/>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pPr>
              <w:jc w:val="center"/>
            </w:pPr>
            <w:r>
              <w:rPr>
                <w:rFonts w:ascii="Arial" w:cs="Arial" w:eastAsia="Arial" w:hAnsi="Arial"/>
                <w:b/>
                <w:bCs/>
                <w:color w:val="FFFFFF"/>
                <w:sz w:val="24"/>
                <w:szCs w:val="24"/>
              </w:rPr>
              <w:t xml:space="preserve">5</w:t>
            </w:r>
          </w:p>
        </w:tc>
        <w:tc>
          <w:tcPr>
            <w:tcW w:type="dxa" w:w="22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CMMS integration — predictive maintenance</w:t>
            </w:r>
          </w:p>
        </w:tc>
        <w:tc>
          <w:tcPr>
            <w:tcW w:type="dxa" w:w="34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MaintainX CMMS connected to IIoT data infrastructure. Alarm thresholds configured on sensor data. Threshold events automatically generate work orders in MaintainX. Maintenance technician notification demonstrated end to end.</w:t>
            </w:r>
          </w:p>
        </w:tc>
        <w:tc>
          <w:tcPr>
            <w:tcW w:type="dxa" w:w="32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Data driving maintenance action. Predictive maintenance workflow demonstrated from sensor anomaly detection through automatic work order generation to technician notification. Complete maintenance digitalization story.</w:t>
            </w:r>
          </w:p>
        </w:tc>
      </w:tr>
      <w:tr>
        <w:tc>
          <w:tcPr>
            <w:tcW w:type="dxa" w:w="560"/>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pPr>
              <w:jc w:val="center"/>
            </w:pPr>
            <w:r>
              <w:rPr>
                <w:rFonts w:ascii="Arial" w:cs="Arial" w:eastAsia="Arial" w:hAnsi="Arial"/>
                <w:b/>
                <w:bCs/>
                <w:color w:val="FFFFFF"/>
                <w:sz w:val="24"/>
                <w:szCs w:val="24"/>
              </w:rPr>
              <w:t xml:space="preserve">6</w:t>
            </w:r>
          </w:p>
        </w:tc>
        <w:tc>
          <w:tcPr>
            <w:tcW w:type="dxa" w:w="22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Remote access and multi-site demonstration</w:t>
            </w:r>
          </w:p>
        </w:tc>
        <w:tc>
          <w:tcPr>
            <w:tcW w:type="dxa" w:w="34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WireGuard VPN configured on GL.iNet router. Dashboards and SCADA accessible remotely via secure tunnel. Webcam on 42U rack providing live visual feed of simulated production. Operator panel rack portable for on-site client demonstrations.</w:t>
            </w:r>
          </w:p>
        </w:tc>
        <w:tc>
          <w:tcPr>
            <w:tcW w:type="dxa" w:w="32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Multi-site architecture demonstrated as a working implementation. Plant floor data visible in real time from any location. Remote monitoring and secure access without cloud dependency.</w:t>
            </w:r>
          </w:p>
        </w:tc>
      </w:tr>
    </w:tbl>
    <w:p>
      <w:pPr>
        <w:pBdr>
          <w:bottom w:val="single" w:color="1F3864" w:sz="6" w:space="1"/>
        </w:pBdr>
        <w:spacing w:after="120" w:before="320"/>
      </w:pPr>
      <w:r>
        <w:rPr>
          <w:rFonts w:ascii="Arial" w:cs="Arial" w:eastAsia="Arial" w:hAnsi="Arial"/>
          <w:b/>
          <w:bCs/>
          <w:color w:val="1F3864"/>
          <w:sz w:val="24"/>
          <w:szCs w:val="24"/>
        </w:rPr>
        <w:t xml:space="preserve">4.  Phase Status</w:t>
      </w:r>
    </w:p>
    <w:p>
      <w:pPr>
        <w:spacing w:after="80" w:before="80"/>
      </w:pPr>
      <w:r>
        <w:rPr>
          <w:rFonts w:ascii="Arial" w:cs="Arial" w:eastAsia="Arial" w:hAnsi="Arial"/>
          <w:sz w:val="20"/>
          <w:szCs w:val="20"/>
        </w:rPr>
        <w:t xml:space="preserve">This document is updated at each phase completion. Current status reflects the build state as of the document date.</w:t>
      </w:r>
    </w:p>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400"/>
        <w:gridCol w:w="1800"/>
        <w:gridCol w:w="4600"/>
      </w:tblGrid>
      <w:tr>
        <w:tc>
          <w:tcPr>
            <w:tcW w:type="dxa" w:w="560"/>
            <w:gridSpan w:val="1"/>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Phase</w:t>
            </w:r>
          </w:p>
        </w:tc>
        <w:tc>
          <w:tcPr>
            <w:tcW w:type="dxa" w:w="2400"/>
            <w:gridSpan w:val="1"/>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Focus</w:t>
            </w:r>
          </w:p>
        </w:tc>
        <w:tc>
          <w:tcPr>
            <w:tcW w:type="dxa" w:w="1800"/>
            <w:gridSpan w:val="1"/>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Status</w:t>
            </w:r>
          </w:p>
        </w:tc>
        <w:tc>
          <w:tcPr>
            <w:tcW w:type="dxa" w:w="4600"/>
            <w:gridSpan w:val="1"/>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Notes</w:t>
            </w:r>
          </w:p>
        </w:tc>
      </w:tr>
      <w:tr>
        <w:tc>
          <w:tcPr>
            <w:tcW w:type="dxa" w:w="56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Controllers programmed — simulation running</w:t>
            </w:r>
          </w:p>
        </w:tc>
        <w:tc>
          <w:tcPr>
            <w:tcW w:type="dxa" w:w="1800"/>
            <w:tcBorders>
              <w:top w:val="single" w:color="CCCCCC" w:sz="1"/>
              <w:left w:val="single" w:color="CCCCCC" w:sz="1"/>
              <w:bottom w:val="single" w:color="CCCCCC" w:sz="1"/>
              <w:right w:val="single" w:color="CCCCCC" w:sz="1"/>
            </w:tcBorders>
            <w:shd w:fill="FFF2CC" w:val="clear"/>
            <w:tcMar>
              <w:top w:type="dxa" w:w="90"/>
              <w:left w:type="dxa" w:w="130"/>
              <w:bottom w:type="dxa" w:w="90"/>
              <w:right w:type="dxa" w:w="130"/>
            </w:tcMar>
          </w:tcPr>
          <w:p>
            <w:pPr>
              <w:jc w:val="center"/>
            </w:pPr>
            <w:r>
              <w:rPr>
                <w:rFonts w:ascii="Arial" w:cs="Arial" w:eastAsia="Arial" w:hAnsi="Arial"/>
                <w:b/>
                <w:bCs/>
                <w:color w:val="7F6000"/>
                <w:sz w:val="20"/>
                <w:szCs w:val="20"/>
              </w:rPr>
              <w:t xml:space="preserve">IN PROGRESS</w:t>
            </w:r>
          </w:p>
        </w:tc>
        <w:tc>
          <w:tcPr>
            <w:tcW w:type="dxa" w:w="46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All controllers in hand. MGate EIP3170 inbound. 42U rack assembled, all shelves installed. Power not yet connected — two dedicated 20A circuits pending. Desktop training stand in final build — enables full I/O program testing. 60-day programming exercise underway. MicroLogix 1000 program nearly complete.</w:t>
            </w:r>
          </w:p>
        </w:tc>
      </w:tr>
      <w:tr>
        <w:tc>
          <w:tcPr>
            <w:tcW w:type="dxa" w:w="56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2</w:t>
            </w:r>
          </w:p>
        </w:tc>
        <w:tc>
          <w:tcPr>
            <w:tcW w:type="dxa" w:w="24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Dashboard and historian</w:t>
            </w:r>
          </w:p>
        </w:tc>
        <w:tc>
          <w:tcPr>
            <w:tcW w:type="dxa" w:w="18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pPr>
              <w:jc w:val="center"/>
            </w:pPr>
            <w:r>
              <w:rPr>
                <w:rFonts w:ascii="Arial" w:cs="Arial" w:eastAsia="Arial" w:hAnsi="Arial"/>
                <w:b/>
                <w:bCs/>
                <w:color w:val="333333"/>
                <w:sz w:val="20"/>
                <w:szCs w:val="20"/>
              </w:rPr>
              <w:t xml:space="preserve">PLANNED</w:t>
            </w:r>
          </w:p>
        </w:tc>
        <w:tc>
          <w:tcPr>
            <w:tcW w:type="dxa" w:w="46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Begins when all Phase 1 controllers are commissioned and publishing data.</w:t>
            </w:r>
          </w:p>
        </w:tc>
      </w:tr>
      <w:tr>
        <w:tc>
          <w:tcPr>
            <w:tcW w:type="dxa" w:w="56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3</w:t>
            </w:r>
          </w:p>
        </w:tc>
        <w:tc>
          <w:tcPr>
            <w:tcW w:type="dxa" w:w="24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Operator panel rack build</w:t>
            </w:r>
          </w:p>
        </w:tc>
        <w:tc>
          <w:tcPr>
            <w:tcW w:type="dxa" w:w="18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pPr>
              <w:jc w:val="center"/>
            </w:pPr>
            <w:r>
              <w:rPr>
                <w:rFonts w:ascii="Arial" w:cs="Arial" w:eastAsia="Arial" w:hAnsi="Arial"/>
                <w:b/>
                <w:bCs/>
                <w:color w:val="333333"/>
                <w:sz w:val="20"/>
                <w:szCs w:val="20"/>
              </w:rPr>
              <w:t xml:space="preserve">PLANNED</w:t>
            </w:r>
          </w:p>
        </w:tc>
        <w:tc>
          <w:tcPr>
            <w:tcW w:type="dxa" w:w="46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Rack frames to be sourced. All hardware transfers directly — same 19" width required.</w:t>
            </w:r>
          </w:p>
        </w:tc>
      </w:tr>
      <w:tr>
        <w:tc>
          <w:tcPr>
            <w:tcW w:type="dxa" w:w="56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4</w:t>
            </w:r>
          </w:p>
        </w:tc>
        <w:tc>
          <w:tcPr>
            <w:tcW w:type="dxa" w:w="24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IO-Link smart sensors</w:t>
            </w:r>
          </w:p>
        </w:tc>
        <w:tc>
          <w:tcPr>
            <w:tcW w:type="dxa" w:w="18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pPr>
              <w:jc w:val="center"/>
            </w:pPr>
            <w:r>
              <w:rPr>
                <w:rFonts w:ascii="Arial" w:cs="Arial" w:eastAsia="Arial" w:hAnsi="Arial"/>
                <w:b/>
                <w:bCs/>
                <w:color w:val="333333"/>
                <w:sz w:val="20"/>
                <w:szCs w:val="20"/>
              </w:rPr>
              <w:t xml:space="preserve">PLANNED</w:t>
            </w:r>
          </w:p>
        </w:tc>
        <w:tc>
          <w:tcPr>
            <w:tcW w:type="dxa" w:w="46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IFM AL1590 confirmed — approximately 00 used. IO-Link sensors (temperature, pressure, flow, vibration) to be sourced — IFM preferred for IODD compatibility. Pump module components TBD.</w:t>
            </w:r>
          </w:p>
        </w:tc>
      </w:tr>
      <w:tr>
        <w:tc>
          <w:tcPr>
            <w:tcW w:type="dxa" w:w="56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5</w:t>
            </w:r>
          </w:p>
        </w:tc>
        <w:tc>
          <w:tcPr>
            <w:tcW w:type="dxa" w:w="24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CMMS integration</w:t>
            </w:r>
          </w:p>
        </w:tc>
        <w:tc>
          <w:tcPr>
            <w:tcW w:type="dxa" w:w="18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pPr>
              <w:jc w:val="center"/>
            </w:pPr>
            <w:r>
              <w:rPr>
                <w:rFonts w:ascii="Arial" w:cs="Arial" w:eastAsia="Arial" w:hAnsi="Arial"/>
                <w:b/>
                <w:bCs/>
                <w:color w:val="333333"/>
                <w:sz w:val="20"/>
                <w:szCs w:val="20"/>
              </w:rPr>
              <w:t xml:space="preserve">PLANNED</w:t>
            </w:r>
          </w:p>
        </w:tc>
        <w:tc>
          <w:tcPr>
            <w:tcW w:type="dxa" w:w="46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MaintainX account setup at Phase 4 completion.</w:t>
            </w:r>
          </w:p>
        </w:tc>
      </w:tr>
      <w:tr>
        <w:tc>
          <w:tcPr>
            <w:tcW w:type="dxa" w:w="56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6</w:t>
            </w:r>
          </w:p>
        </w:tc>
        <w:tc>
          <w:tcPr>
            <w:tcW w:type="dxa" w:w="24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Remote access</w:t>
            </w:r>
          </w:p>
        </w:tc>
        <w:tc>
          <w:tcPr>
            <w:tcW w:type="dxa" w:w="18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pPr>
              <w:jc w:val="center"/>
            </w:pPr>
            <w:r>
              <w:rPr>
                <w:rFonts w:ascii="Arial" w:cs="Arial" w:eastAsia="Arial" w:hAnsi="Arial"/>
                <w:b/>
                <w:bCs/>
                <w:color w:val="333333"/>
                <w:sz w:val="20"/>
                <w:szCs w:val="20"/>
              </w:rPr>
              <w:t xml:space="preserve">PLANNED</w:t>
            </w:r>
          </w:p>
        </w:tc>
        <w:tc>
          <w:tcPr>
            <w:tcW w:type="dxa" w:w="46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GL.iNet WireGuard VPN configuration. Webcam hardware TBD.</w:t>
            </w:r>
          </w:p>
        </w:tc>
      </w:tr>
    </w:tbl>
    <w:p>
      <w:pPr>
        <w:pBdr>
          <w:bottom w:val="single" w:color="1F3864" w:sz="6" w:space="1"/>
        </w:pBdr>
        <w:spacing w:after="120" w:before="320"/>
      </w:pPr>
      <w:r>
        <w:rPr>
          <w:rFonts w:ascii="Arial" w:cs="Arial" w:eastAsia="Arial" w:hAnsi="Arial"/>
          <w:b/>
          <w:bCs/>
          <w:color w:val="1F3864"/>
          <w:sz w:val="24"/>
          <w:szCs w:val="24"/>
        </w:rPr>
        <w:t xml:space="preserve">5.  Document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DOCUMENT INFORMATION</w:t>
            </w:r>
          </w:p>
        </w:tc>
      </w:tr>
      <w:tr>
        <w:tc>
          <w:tcPr>
            <w:tcW w:type="dxa" w:w="24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Document Title</w:t>
            </w:r>
          </w:p>
        </w:tc>
        <w:tc>
          <w:tcPr>
            <w:tcW w:type="dxa" w:w="696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42U Multi-Platform Training Rack — Phased Development Plan</w:t>
            </w:r>
          </w:p>
        </w:tc>
      </w:tr>
      <w:tr>
        <w:tc>
          <w:tcPr>
            <w:tcW w:type="dxa" w:w="24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Author</w:t>
            </w:r>
          </w:p>
        </w:tc>
        <w:tc>
          <w:tcPr>
            <w:tcW w:type="dxa" w:w="696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Jeremy Field — Senior Automation Technician</w:t>
            </w:r>
          </w:p>
        </w:tc>
      </w:tr>
      <w:tr>
        <w:tc>
          <w:tcPr>
            <w:tcW w:type="dxa" w:w="24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Version</w:t>
            </w:r>
          </w:p>
        </w:tc>
        <w:tc>
          <w:tcPr>
            <w:tcW w:type="dxa" w:w="696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1.1 — Revised April 2026</w:t>
            </w:r>
          </w:p>
        </w:tc>
      </w:tr>
      <w:tr>
        <w:tc>
          <w:tcPr>
            <w:tcW w:type="dxa" w:w="24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Date</w:t>
            </w:r>
          </w:p>
        </w:tc>
        <w:tc>
          <w:tcPr>
            <w:tcW w:type="dxa" w:w="696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April 2026</w:t>
            </w:r>
          </w:p>
        </w:tc>
      </w:tr>
      <w:tr>
        <w:tc>
          <w:tcPr>
            <w:tcW w:type="dxa" w:w="24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Repository</w:t>
            </w:r>
          </w:p>
        </w:tc>
        <w:tc>
          <w:tcPr>
            <w:tcW w:type="dxa" w:w="696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github.com/JeremySField/loogootee-mfg-training-simulation</w:t>
            </w:r>
          </w:p>
        </w:tc>
      </w:tr>
      <w:tr>
        <w:tc>
          <w:tcPr>
            <w:tcW w:type="dxa" w:w="24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Update Cadence</w:t>
            </w:r>
          </w:p>
        </w:tc>
        <w:tc>
          <w:tcPr>
            <w:tcW w:type="dxa" w:w="696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Updated at each phase completion to reflect current status and lessons learned</w:t>
            </w:r>
          </w:p>
        </w:tc>
      </w:tr>
    </w:tbl>
    <w:p>
      <w:pPr>
        <w:spacing w:before="300"/>
        <w:jc w:val="center"/>
      </w:pPr>
      <w:r>
        <w:rPr>
          <w:rFonts w:ascii="Arial" w:cs="Arial" w:eastAsia="Arial" w:hAnsi="Arial"/>
          <w:i/>
          <w:iCs/>
          <w:color w:val="666666"/>
          <w:sz w:val="18"/>
          <w:szCs w:val="18"/>
        </w:rPr>
        <w:t xml:space="preserve">Jeremy Field  ·  Version 1.1  ·  2026  ·  Living Document — Updated at Each Phase Completion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2026-04-15T17:32:15.386Z</dcterms:created>
  <dcterms:modified xsi:type="dcterms:W3CDTF">2026-04-15T17:32:15.387Z</dcterms:modified>
</cp:coreProperties>
</file>

<file path=docProps/custom.xml><?xml version="1.0" encoding="utf-8"?>
<Properties xmlns="http://schemas.openxmlformats.org/officeDocument/2006/custom-properties" xmlns:vt="http://schemas.openxmlformats.org/officeDocument/2006/docPropsVTypes"/>
</file>