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4"/>
                <w:szCs w:val="24"/>
              </w:rPr>
              <w:t xml:space="preserve">LOOGOOTEE MFG. — TRAINING SIMULATION</w:t>
            </w:r>
          </w:p>
          <w:p>
            <w:pPr>
              <w:spacing w:before="60"/>
              <w:jc w:val="center"/>
            </w:pPr>
            <w:r>
              <w:rPr>
                <w:rFonts w:ascii="Arial" w:cs="Arial" w:eastAsia="Arial" w:hAnsi="Arial"/>
                <w:b/>
                <w:bCs/>
                <w:color w:val="FFFFFF"/>
                <w:sz w:val="40"/>
                <w:szCs w:val="40"/>
              </w:rPr>
              <w:t xml:space="preserve">IIoT MODERNIZATION</w:t>
            </w:r>
          </w:p>
          <w:p>
            <w:pPr>
              <w:jc w:val="center"/>
            </w:pPr>
            <w:r>
              <w:rPr>
                <w:rFonts w:ascii="Arial" w:cs="Arial" w:eastAsia="Arial" w:hAnsi="Arial"/>
                <w:b/>
                <w:bCs/>
                <w:color w:val="FFFFFF"/>
                <w:sz w:val="28"/>
                <w:szCs w:val="28"/>
              </w:rPr>
              <w:t xml:space="preserve">PROJECT SCOPE OF WORK</w:t>
            </w:r>
          </w:p>
          <w:p>
            <w:pPr>
              <w:spacing w:before="14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Loogootee Mfg., Inc.  ·  Loogootee, Illinois  ·  March 2026</w:t>
            </w:r>
          </w:p>
          <w:p>
            <w:pPr>
              <w:jc w:val="center"/>
            </w:pPr>
            <w:r>
              <w:rPr>
                <w:rFonts w:ascii="Arial" w:cs="Arial" w:eastAsia="Arial" w:hAnsi="Arial"/>
                <w:i/>
                <w:iCs/>
                <w:color w:val="D5E8F0"/>
                <w:sz w:val="18"/>
                <w:szCs w:val="18"/>
              </w:rPr>
              <w:t xml:space="preserve">Document Version 1.0  ·  Training Simulation — Not for Distribution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document is a simulated integration project scope created as a professional portfolio and training exercise. Loogootee Mfg., Inc. is a fictional company. All facility descriptions, equipment lists, and operational details are illustrative. No actual customer data, proprietary information, or confidential business records are represented.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EXECUTIVE SUMMARY</w:t>
            </w:r>
          </w:p>
        </w:tc>
      </w:tr>
    </w:tbl>
    <w:p>
      <w:pPr>
        <w:spacing w:after="80" w:before="120"/>
      </w:pPr>
    </w:p>
    <w:p>
      <w:pPr>
        <w:spacing w:after="80" w:before="80"/>
      </w:pPr>
      <w:r>
        <w:rPr>
          <w:rFonts w:ascii="Arial" w:cs="Arial" w:eastAsia="Arial" w:hAnsi="Arial"/>
          <w:sz w:val="20"/>
          <w:szCs w:val="20"/>
        </w:rPr>
        <w:t xml:space="preserve">Loogootee Manufacturing, Inc. is a mid-size precision metal stamping company serving medical supply manufacturers from two facilities in Loogootee, Illinois. The company operates approximately 20 production machines across its stamping and finishing site and a separate packaging and warehousing facility located one block away in the same industrial park.</w:t>
      </w:r>
    </w:p>
    <w:p>
      <w:pPr>
        <w:spacing w:after="80" w:before="80"/>
      </w:pPr>
      <w:r>
        <w:rPr>
          <w:rFonts w:ascii="Arial" w:cs="Arial" w:eastAsia="Arial" w:hAnsi="Arial"/>
          <w:sz w:val="20"/>
          <w:szCs w:val="20"/>
        </w:rPr>
        <w:t xml:space="preserve">Despite decades of successful operation, the company currently has no automated production data collection infrastructure. Machine performance, output rates, scrap quantities, and downtime events are recorded manually by operators on paper travelers and entered into spreadsheets after the fact. The result is a significant and growing gap between actual operational performance and management visibility — a gap that has begun to measurably erode profitability as material costs increase and customer quality requirements intensify.</w:t>
      </w:r>
    </w:p>
    <w:p>
      <w:pPr>
        <w:spacing w:after="80" w:before="80"/>
      </w:pPr>
      <w:r>
        <w:rPr>
          <w:rFonts w:ascii="Arial" w:cs="Arial" w:eastAsia="Arial" w:hAnsi="Arial"/>
          <w:sz w:val="20"/>
          <w:szCs w:val="20"/>
        </w:rPr>
        <w:t xml:space="preserve">This document defines the scope of work for a phased IIoT modernization program that will connect all production equipment across both facilities to a Unified Namespace — a single real-time data infrastructure providing live production visibility, OEE tracking, historian data, and cross-site coordination without interrupting production or modifying existing control programs.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Arial" w:cs="Arial" w:eastAsia="Arial" w:hAnsi="Arial"/>
                <w:b/>
                <w:bCs/>
                <w:color w:val="1F3864"/>
                <w:sz w:val="28"/>
                <w:szCs w:val="28"/>
              </w:rPr>
              <w:t xml:space="preserve">~175</w:t>
            </w:r>
            <w:r>
              <w:rPr>
                <w:rFonts w:ascii="Arial" w:cs="Arial" w:eastAsia="Arial" w:hAnsi="Arial"/>
                <w:sz w:val="18"/>
                <w:szCs w:val="18"/>
              </w:rPr>
              <w:br/>
              <w:t xml:space="preserve">
Employees</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Arial" w:cs="Arial" w:eastAsia="Arial" w:hAnsi="Arial"/>
                <w:b/>
                <w:bCs/>
                <w:color w:val="1F3864"/>
                <w:sz w:val="28"/>
                <w:szCs w:val="28"/>
              </w:rPr>
              <w:t xml:space="preserve">$25–40M</w:t>
            </w:r>
            <w:r>
              <w:rPr>
                <w:rFonts w:ascii="Arial" w:cs="Arial" w:eastAsia="Arial" w:hAnsi="Arial"/>
                <w:sz w:val="18"/>
                <w:szCs w:val="18"/>
              </w:rPr>
              <w:br/>
              <w:t xml:space="preserve">
Annual Revenue</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Arial" w:cs="Arial" w:eastAsia="Arial" w:hAnsi="Arial"/>
                <w:b/>
                <w:bCs/>
                <w:color w:val="1F3864"/>
                <w:sz w:val="28"/>
                <w:szCs w:val="28"/>
              </w:rPr>
              <w:t xml:space="preserve">2</w:t>
            </w:r>
            <w:r>
              <w:rPr>
                <w:rFonts w:ascii="Arial" w:cs="Arial" w:eastAsia="Arial" w:hAnsi="Arial"/>
                <w:sz w:val="18"/>
                <w:szCs w:val="18"/>
              </w:rPr>
              <w:br/>
              <w:t xml:space="preserve">
Facilities</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Arial" w:cs="Arial" w:eastAsia="Arial" w:hAnsi="Arial"/>
                <w:b/>
                <w:bCs/>
                <w:color w:val="1F3864"/>
                <w:sz w:val="28"/>
                <w:szCs w:val="28"/>
              </w:rPr>
              <w:t xml:space="preserve">20+</w:t>
            </w:r>
            <w:r>
              <w:rPr>
                <w:rFonts w:ascii="Arial" w:cs="Arial" w:eastAsia="Arial" w:hAnsi="Arial"/>
                <w:sz w:val="18"/>
                <w:szCs w:val="18"/>
              </w:rPr>
              <w:br/>
              <w:t xml:space="preserve">
Production Machines</w:t>
            </w:r>
          </w:p>
        </w:tc>
        <w:tc>
          <w:tcPr>
            <w:tcW w:type="dxa" w:w="1872"/>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pPr>
              <w:jc w:val="center"/>
            </w:pPr>
            <w:r>
              <w:rPr>
                <w:rFonts w:ascii="Arial" w:cs="Arial" w:eastAsia="Arial" w:hAnsi="Arial"/>
                <w:b/>
                <w:bCs/>
                <w:color w:val="1F3864"/>
                <w:sz w:val="28"/>
                <w:szCs w:val="28"/>
              </w:rPr>
              <w:t xml:space="preserve">0</w:t>
            </w:r>
            <w:r>
              <w:rPr>
                <w:rFonts w:ascii="Arial" w:cs="Arial" w:eastAsia="Arial" w:hAnsi="Arial"/>
                <w:sz w:val="18"/>
                <w:szCs w:val="18"/>
              </w:rPr>
              <w:br/>
              <w:t xml:space="preserve">
Automated Data Points</w:t>
            </w:r>
          </w:p>
        </w:tc>
      </w:tr>
    </w:tbl>
    <w:p>
      <w:pPr>
        <w:pBdr>
          <w:bottom w:val="single" w:color="1F3864" w:sz="6" w:space="1"/>
        </w:pBdr>
        <w:spacing w:after="120" w:before="320"/>
      </w:pPr>
      <w:r>
        <w:rPr>
          <w:rFonts w:ascii="Arial" w:cs="Arial" w:eastAsia="Arial" w:hAnsi="Arial"/>
          <w:b/>
          <w:bCs/>
          <w:color w:val="1F3864"/>
          <w:sz w:val="26"/>
          <w:szCs w:val="26"/>
        </w:rPr>
        <w:t xml:space="preserve">1.  Company Background</w:t>
      </w:r>
    </w:p>
    <w:p>
      <w:pPr>
        <w:spacing w:after="80" w:before="220"/>
      </w:pPr>
      <w:r>
        <w:rPr>
          <w:rFonts w:ascii="Arial" w:cs="Arial" w:eastAsia="Arial" w:hAnsi="Arial"/>
          <w:b/>
          <w:bCs/>
          <w:color w:val="1F3864"/>
          <w:sz w:val="22"/>
          <w:szCs w:val="22"/>
        </w:rPr>
        <w:t xml:space="preserve">1.1  Company History</w:t>
      </w:r>
    </w:p>
    <w:p>
      <w:pPr>
        <w:spacing w:after="80" w:before="80"/>
      </w:pPr>
      <w:r>
        <w:rPr>
          <w:rFonts w:ascii="Arial" w:cs="Arial" w:eastAsia="Arial" w:hAnsi="Arial"/>
          <w:sz w:val="20"/>
          <w:szCs w:val="20"/>
        </w:rPr>
        <w:t xml:space="preserve">Loogootee Manufacturing was established in the mid-1970s as a precision metal stamping operation serving industrial OEM customers in the midwest. The company built its reputation on close-tolerance stamped and formed metal components, developing long-term relationships with customers in the automotive, agricultural, and industrial equipment sectors.</w:t>
      </w:r>
    </w:p>
    <w:p>
      <w:pPr>
        <w:spacing w:after="80" w:before="80"/>
      </w:pPr>
      <w:r>
        <w:rPr>
          <w:rFonts w:ascii="Arial" w:cs="Arial" w:eastAsia="Arial" w:hAnsi="Arial"/>
          <w:sz w:val="20"/>
          <w:szCs w:val="20"/>
        </w:rPr>
        <w:t xml:space="preserve">In the late 1980s and early 1990s the company invested in its first generation of programmable control systems, replacing relay-based machine controls with early Allen-Bradley PLC platforms across the primary stamping operations. This modernization improved reliability and enabled more consistent production rates but did not include any data collection capability beyond basic machine status indication.</w:t>
      </w:r>
    </w:p>
    <w:p>
      <w:pPr>
        <w:spacing w:after="80" w:before="80"/>
      </w:pPr>
      <w:r>
        <w:rPr>
          <w:rFonts w:ascii="Arial" w:cs="Arial" w:eastAsia="Arial" w:hAnsi="Arial"/>
          <w:sz w:val="20"/>
          <w:szCs w:val="20"/>
        </w:rPr>
        <w:t xml:space="preserve">A strategic shift in the early 2000s repositioned the company toward the medical supply manufacturing sector, where tighter tolerances, material traceability requirements, and long-term supply relationships aligned with Loogootee’s existing capabilities. Medical supply OEM customers now represent the majority of annual revenue.</w:t>
      </w:r>
    </w:p>
    <w:p>
      <w:pPr>
        <w:spacing w:after="80" w:before="220"/>
      </w:pPr>
      <w:r>
        <w:rPr>
          <w:rFonts w:ascii="Arial" w:cs="Arial" w:eastAsia="Arial" w:hAnsi="Arial"/>
          <w:b/>
          <w:bCs/>
          <w:color w:val="1F3864"/>
          <w:sz w:val="22"/>
          <w:szCs w:val="22"/>
        </w:rPr>
        <w:t xml:space="preserve">1.2  Recent Expansion</w:t>
      </w:r>
    </w:p>
    <w:p>
      <w:pPr>
        <w:spacing w:after="80" w:before="80"/>
      </w:pPr>
      <w:r>
        <w:rPr>
          <w:rFonts w:ascii="Arial" w:cs="Arial" w:eastAsia="Arial" w:hAnsi="Arial"/>
          <w:sz w:val="20"/>
          <w:szCs w:val="20"/>
        </w:rPr>
        <w:t xml:space="preserve">Demand growth in the mid-2010s created capacity pressure at the original facility. The company made the decision to bring washing and surface treatment operations in-house rather than continue outsourcing to a third-party finisher — a change that improved quality control and reduced lead times but required significant floor space.</w:t>
      </w:r>
    </w:p>
    <w:p>
      <w:pPr>
        <w:spacing w:after="80" w:before="80"/>
      </w:pPr>
      <w:r>
        <w:rPr>
          <w:rFonts w:ascii="Arial" w:cs="Arial" w:eastAsia="Arial" w:hAnsi="Arial"/>
          <w:sz w:val="20"/>
          <w:szCs w:val="20"/>
        </w:rPr>
        <w:t xml:space="preserve">Packaging and warehousing operations were relocated to a second facility approximately one block away in the same Loogootee industrial park to accommodate the new washing and finishing equipment. The two facilities now operate as a sequential production flow: Site 1 produces, washes, and inspects finished stampings; Site 2 packages, labels, and ships to customer.</w:t>
      </w:r>
    </w:p>
    <w:p>
      <w:pPr>
        <w:spacing w:after="80" w:before="80"/>
      </w:pPr>
      <w:r>
        <w:rPr>
          <w:rFonts w:ascii="Arial" w:cs="Arial" w:eastAsia="Arial" w:hAnsi="Arial"/>
          <w:sz w:val="20"/>
          <w:szCs w:val="20"/>
        </w:rPr>
        <w:t xml:space="preserve">The expansion added production capacity but introduced a new operational challenge: the two sites have no electronic data connection. Finished part counts, quality status, and production records transfer between facilities on paper travelers carried by material handlers. Discrepancies between Site 1 output counts and Site 2 receiving counts are common, unresolved, and untracked.</w:t>
      </w:r>
    </w:p>
    <w:p>
      <w:pPr>
        <w:spacing w:after="80" w:before="220"/>
      </w:pPr>
      <w:r>
        <w:rPr>
          <w:rFonts w:ascii="Arial" w:cs="Arial" w:eastAsia="Arial" w:hAnsi="Arial"/>
          <w:b/>
          <w:bCs/>
          <w:color w:val="1F3864"/>
          <w:sz w:val="22"/>
          <w:szCs w:val="22"/>
        </w:rPr>
        <w:t xml:space="preserve">1.3  Current Control Infrastructure</w:t>
      </w:r>
    </w:p>
    <w:p>
      <w:pPr>
        <w:spacing w:after="80" w:before="80"/>
      </w:pPr>
      <w:r>
        <w:rPr>
          <w:rFonts w:ascii="Arial" w:cs="Arial" w:eastAsia="Arial" w:hAnsi="Arial"/>
          <w:sz w:val="20"/>
          <w:szCs w:val="20"/>
        </w:rPr>
        <w:t xml:space="preserve">Production equipment across both facilities spans approximately three decades of control system technology. The installed base reflects a mix of vendors and generations accumulated through individual equipment purchases rather than any coordinated controls architecture strategy.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600"/>
        <w:gridCol w:w="2460"/>
      </w:tblGrid>
      <w:tr>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Equipment</w:t>
            </w:r>
          </w:p>
        </w:tc>
        <w:tc>
          <w:tcPr>
            <w:tcW w:type="dxa" w:w="25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 Platform</w:t>
            </w:r>
          </w:p>
        </w:tc>
        <w:tc>
          <w:tcPr>
            <w:tcW w:type="dxa" w:w="1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Vintage</w:t>
            </w:r>
          </w:p>
        </w:tc>
        <w:tc>
          <w:tcPr>
            <w:tcW w:type="dxa" w:w="24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Network Capable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Progressive Stamping Press ×2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MicroLogix 1400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2005–2008</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EtherNet/IP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Trimming Press ×2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Micro850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2012–2015</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EtherNet/IP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Wash Line / Surface Treatment</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CompactLogix L24ER</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2016</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EtherNet/IP / OPC-UA</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Safety Press with Light Curtain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GuardLogix</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2014</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CIP Safety / EtherNet/IP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Legacy Blanking Press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MicroLogix 1000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1998</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DF1 Serial Only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High Speed Forming Cell</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Beckhoff CX5120 / EtherCAT I/O</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2019</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EtherNet/IP / OPC-UA</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PowerFlex 4 Variable Speed Drives ×3</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Allen-Bradley PowerFlex 4</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2008–2014</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Modbus RTU via Serial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Sort and Pack Line</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Siemens S7-1200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2018</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PROFINET / OPC-UA</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Conveyor System — Site 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Siemens ET200SP / S7-1200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2018</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PROFINET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Packaging Equipment — Site 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Siemens S7-1200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 2020</w:t>
            </w:r>
          </w:p>
        </w:tc>
        <w:tc>
          <w:tcPr>
            <w:tcW w:type="dxa" w:w="24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PROFINET / OPC-UA</w:t>
            </w:r>
          </w:p>
        </w:tc>
      </w:tr>
    </w:tbl>
    <w:p>
      <w:pPr>
        <w:pBdr>
          <w:bottom w:val="single" w:color="1F3864" w:sz="6" w:space="1"/>
        </w:pBdr>
        <w:spacing w:after="120" w:before="320"/>
      </w:pPr>
      <w:r>
        <w:rPr>
          <w:rFonts w:ascii="Arial" w:cs="Arial" w:eastAsia="Arial" w:hAnsi="Arial"/>
          <w:b/>
          <w:bCs/>
          <w:color w:val="1F3864"/>
          <w:sz w:val="26"/>
          <w:szCs w:val="26"/>
        </w:rPr>
        <w:t xml:space="preserve">2.  Problem Statement and Business Impact</w:t>
      </w:r>
    </w:p>
    <w:p>
      <w:pPr>
        <w:spacing w:after="80" w:before="220"/>
      </w:pPr>
      <w:r>
        <w:rPr>
          <w:rFonts w:ascii="Arial" w:cs="Arial" w:eastAsia="Arial" w:hAnsi="Arial"/>
          <w:b/>
          <w:bCs/>
          <w:color w:val="1F3864"/>
          <w:sz w:val="22"/>
          <w:szCs w:val="22"/>
        </w:rPr>
        <w:t xml:space="preserve">2.1  Operational Visibility</w:t>
      </w:r>
    </w:p>
    <w:p>
      <w:pPr>
        <w:spacing w:after="80" w:before="80"/>
      </w:pPr>
      <w:r>
        <w:rPr>
          <w:rFonts w:ascii="Arial" w:cs="Arial" w:eastAsia="Arial" w:hAnsi="Arial"/>
          <w:sz w:val="20"/>
          <w:szCs w:val="20"/>
        </w:rPr>
        <w:t xml:space="preserve">Production performance at Loogootee Manufacturing is currently measured by end-of-shift manual counts recorded on paper travelers. Operators record part counts, downtime events, and scrap quantities by hand. Data is entered into spreadsheets the following day, often incompletely and without consistent definitions of what constitutes a countable event.</w:t>
      </w:r>
    </w:p>
    <w:p>
      <w:pPr>
        <w:spacing w:after="80" w:before="80"/>
      </w:pPr>
      <w:r>
        <w:rPr>
          <w:rFonts w:ascii="Arial" w:cs="Arial" w:eastAsia="Arial" w:hAnsi="Arial"/>
          <w:sz w:val="20"/>
          <w:szCs w:val="20"/>
        </w:rPr>
        <w:t xml:space="preserve">The practical result is that management has no real-time visibility into what is happening on the production floor. Machine status, current production rate versus target, active faults, and shift performance against schedule are unknown until the following morning at the earliest. Production scheduling decisions are made on instinct and experience rather than data.</w:t>
      </w:r>
    </w:p>
    <w:p>
      <w:pPr>
        <w:spacing w:after="80" w:before="220"/>
      </w:pPr>
      <w:r>
        <w:rPr>
          <w:rFonts w:ascii="Arial" w:cs="Arial" w:eastAsia="Arial" w:hAnsi="Arial"/>
          <w:b/>
          <w:bCs/>
          <w:color w:val="1F3864"/>
          <w:sz w:val="22"/>
          <w:szCs w:val="22"/>
        </w:rPr>
        <w:t xml:space="preserve">2.2  OEE and Efficiency</w:t>
      </w:r>
    </w:p>
    <w:p>
      <w:pPr>
        <w:spacing w:after="80" w:before="80"/>
      </w:pPr>
      <w:r>
        <w:rPr>
          <w:rFonts w:ascii="Arial" w:cs="Arial" w:eastAsia="Arial" w:hAnsi="Arial"/>
          <w:sz w:val="20"/>
          <w:szCs w:val="20"/>
        </w:rPr>
        <w:t xml:space="preserve">Overall Equipment Effectiveness has never been formally calculated at Loogootee Manufacturing. Availability data does not exist in any structured form. Performance data is anecdotal. Quality data relies on end-of-line inspection records that capture defects found, not defects made.</w:t>
      </w:r>
    </w:p>
    <w:p>
      <w:pPr>
        <w:spacing w:after="80" w:before="80"/>
      </w:pPr>
      <w:r>
        <w:rPr>
          <w:rFonts w:ascii="Arial" w:cs="Arial" w:eastAsia="Arial" w:hAnsi="Arial"/>
          <w:sz w:val="20"/>
          <w:szCs w:val="20"/>
        </w:rPr>
        <w:t xml:space="preserve">The impact is significant: the company cannot accurately determine whether it can meet production commitments before accepting customer orders. Lead time estimates are based on historical averages that do not account for current machine condition, aging equipment reliability trends, or realistic throughput rates. Commitments are made on optimistic assumptions and frequently require overtime recovery.</w:t>
      </w:r>
    </w:p>
    <w:p>
      <w:pPr>
        <w:spacing w:after="80" w:before="220"/>
      </w:pPr>
      <w:r>
        <w:rPr>
          <w:rFonts w:ascii="Arial" w:cs="Arial" w:eastAsia="Arial" w:hAnsi="Arial"/>
          <w:b/>
          <w:bCs/>
          <w:color w:val="1F3864"/>
          <w:sz w:val="22"/>
          <w:szCs w:val="22"/>
        </w:rPr>
        <w:t xml:space="preserve">2.3  Maintenance and Downtime</w:t>
      </w:r>
    </w:p>
    <w:p>
      <w:pPr>
        <w:spacing w:after="80" w:before="80"/>
      </w:pPr>
      <w:r>
        <w:rPr>
          <w:rFonts w:ascii="Arial" w:cs="Arial" w:eastAsia="Arial" w:hAnsi="Arial"/>
          <w:sz w:val="20"/>
          <w:szCs w:val="20"/>
        </w:rPr>
        <w:t xml:space="preserve">The maintenance workforce has experienced significant attrition over the past five years as experienced technicians retire. Institutional knowledge of machine quirks, failure patterns, and preventive maintenance requirements has largely departed with them. Replacement technicians lack the experience base to anticipate failures before they occur.</w:t>
      </w:r>
    </w:p>
    <w:p>
      <w:pPr>
        <w:spacing w:after="80" w:before="80"/>
      </w:pPr>
      <w:r>
        <w:rPr>
          <w:rFonts w:ascii="Arial" w:cs="Arial" w:eastAsia="Arial" w:hAnsi="Arial"/>
          <w:sz w:val="20"/>
          <w:szCs w:val="20"/>
        </w:rPr>
        <w:t xml:space="preserve">Without downtime tracking data, the maintenance budget cannot be prioritized by actual need. Maintenance resources are allocated reactively — to whichever machine is currently down — rather than proactively to machines with increasing failure frequency. The cost of this reactive posture is compounding as equipment ages and spares availability for older platforms decreases.</w:t>
      </w:r>
    </w:p>
    <w:p>
      <w:pPr>
        <w:spacing w:after="80" w:before="220"/>
      </w:pPr>
      <w:r>
        <w:rPr>
          <w:rFonts w:ascii="Arial" w:cs="Arial" w:eastAsia="Arial" w:hAnsi="Arial"/>
          <w:b/>
          <w:bCs/>
          <w:color w:val="1F3864"/>
          <w:sz w:val="22"/>
          <w:szCs w:val="22"/>
        </w:rPr>
        <w:t xml:space="preserve">2.4  Material Cost and Scrap Impact</w:t>
      </w:r>
    </w:p>
    <w:p>
      <w:pPr>
        <w:spacing w:after="80" w:before="80"/>
      </w:pPr>
      <w:r>
        <w:rPr>
          <w:rFonts w:ascii="Arial" w:cs="Arial" w:eastAsia="Arial" w:hAnsi="Arial"/>
          <w:sz w:val="20"/>
          <w:szCs w:val="20"/>
        </w:rPr>
        <w:t xml:space="preserve">Raw material costs have increased substantially over the past ten to fifteen years. Scrap rates, which directly multiply material cost impact, are not systematically tracked. Operators estimate scrap quantities at end of shift. The estimates are inconsistent and frequently understated.</w:t>
      </w:r>
    </w:p>
    <w:p>
      <w:pPr>
        <w:spacing w:after="80" w:before="80"/>
      </w:pPr>
      <w:r>
        <w:rPr>
          <w:rFonts w:ascii="Arial" w:cs="Arial" w:eastAsia="Arial" w:hAnsi="Arial"/>
          <w:sz w:val="20"/>
          <w:szCs w:val="20"/>
        </w:rPr>
        <w:t xml:space="preserve">Management has identified that actual scrap rates are likely significantly higher than reported figures suggest, based on material consumption versus finished goods output reconciliation conducted during recent financial audits. The exact magnitude of the discrepancy is unknown because the data necessary to calculate it does not exist.</w:t>
      </w:r>
    </w:p>
    <w:p>
      <w:pPr>
        <w:spacing w:after="80" w:before="220"/>
      </w:pPr>
      <w:r>
        <w:rPr>
          <w:rFonts w:ascii="Arial" w:cs="Arial" w:eastAsia="Arial" w:hAnsi="Arial"/>
          <w:b/>
          <w:bCs/>
          <w:color w:val="1F3864"/>
          <w:sz w:val="22"/>
          <w:szCs w:val="22"/>
        </w:rPr>
        <w:t xml:space="preserve">2.5  Customer and Regulatory Requirements</w:t>
      </w:r>
    </w:p>
    <w:p>
      <w:pPr>
        <w:spacing w:after="80" w:before="80"/>
      </w:pPr>
      <w:r>
        <w:rPr>
          <w:rFonts w:ascii="Arial" w:cs="Arial" w:eastAsia="Arial" w:hAnsi="Arial"/>
          <w:sz w:val="20"/>
          <w:szCs w:val="20"/>
        </w:rPr>
        <w:t xml:space="preserve">Medical supply OEM customers require supplier quality documentation as a condition of ongoing business. Production records, lot traceability, and quality data are subject to customer audit. Current manual record keeping practices create audit exposure and have been flagged by two customers in the past eighteen months as requiring improvement.</w:t>
      </w:r>
    </w:p>
    <w:p>
      <w:pPr>
        <w:spacing w:after="80" w:before="80"/>
      </w:pPr>
      <w:r>
        <w:rPr>
          <w:rFonts w:ascii="Arial" w:cs="Arial" w:eastAsia="Arial" w:hAnsi="Arial"/>
          <w:sz w:val="20"/>
          <w:szCs w:val="20"/>
        </w:rPr>
        <w:t xml:space="preserve">The risk of customer attrition due to inadequate quality documentation is considered by new management to be the most urgent business case driver for this program. Loss of a single major medical OEM customer would represent a material revenue impact.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Problem Area</w:t>
            </w:r>
          </w:p>
        </w:tc>
        <w:tc>
          <w:tcPr>
            <w:tcW w:type="dxa" w:w="368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State</w:t>
            </w:r>
          </w:p>
        </w:tc>
        <w:tc>
          <w:tcPr>
            <w:tcW w:type="dxa" w:w="368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Impact</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Production Visibility</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Manual paper records, next-day data entry</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real-time scheduling or floor management capability</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OEE Tracking</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Not measured</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Inability to commit accurately to customer schedules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Maintenance Planning</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Reactive only, institutional knowledge lost</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Increasing unplanned downtime, rising repair costs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Scrap Tracking</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Manual estimation, inconsistent</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Unquantified material cost erosion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Cross-Site Coordination</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Paper travelers, phone calls</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Inventory discrepancies, scheduling gaps between sites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Customer Documentation</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Manual logs, audit exposure</w:t>
            </w:r>
          </w:p>
        </w:tc>
        <w:tc>
          <w:tcPr>
            <w:tcW w:type="dxa" w:w="3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Customer attrition risk, potential contract loss</w:t>
            </w:r>
          </w:p>
        </w:tc>
      </w:tr>
    </w:tbl>
    <w:p>
      <w:pPr>
        <w:pBdr>
          <w:bottom w:val="single" w:color="1F3864" w:sz="6" w:space="1"/>
        </w:pBdr>
        <w:spacing w:after="120" w:before="320"/>
      </w:pPr>
      <w:r>
        <w:rPr>
          <w:rFonts w:ascii="Arial" w:cs="Arial" w:eastAsia="Arial" w:hAnsi="Arial"/>
          <w:b/>
          <w:bCs/>
          <w:color w:val="1F3864"/>
          <w:sz w:val="26"/>
          <w:szCs w:val="26"/>
        </w:rPr>
        <w:t xml:space="preserve">3.  Project Objectives</w:t>
      </w:r>
    </w:p>
    <w:p>
      <w:pPr>
        <w:spacing w:after="80" w:before="80"/>
      </w:pPr>
      <w:r>
        <w:rPr>
          <w:rFonts w:ascii="Arial" w:cs="Arial" w:eastAsia="Arial" w:hAnsi="Arial"/>
          <w:sz w:val="20"/>
          <w:szCs w:val="20"/>
        </w:rPr>
        <w:t xml:space="preserve">The following objectives define success for this engagement. Each objective is measurable and directly addresses a problem area identified in Section 2.</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200"/>
        <w:gridCol w:w="3600"/>
      </w:tblGrid>
      <w:tr>
        <w:tc>
          <w:tcPr>
            <w:tcW w:type="dxa" w:w="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Objective</w:t>
            </w:r>
          </w:p>
        </w:tc>
        <w:tc>
          <w:tcPr>
            <w:tcW w:type="dxa" w:w="3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Measure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Connect all production equipment at both sites to a real-time data infrastructure without interrupting production or modifying existing control programs</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All machines publishing live data to Unified Namespace within project timeline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Establish automated OEE calculation for all production equipment</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OEE visible on dashboard for every machine, updated in real time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Implement automated scrap and part count tracking at point of production</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Scrap rate calculated from actual machine data, not manual estimation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Deploy maintenance downtime tracking and fault history logging</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Downtime events captured automatically with timestamp, duration, and fault code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Create real-time production visibility dashboard accessible to management</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Live dashboard showing all machines, both sites, on a single screen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Establish electronic cross-site part tracking replacing paper travelers</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Site 1 output count and Site 2 receiving count reconciled automatically in real time</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Build automated production documentation sufficient for customer audit requirements</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Historian data exportable as production records meeting medical OEM audit standards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w:t>
            </w:r>
          </w:p>
        </w:tc>
        <w:tc>
          <w:tcPr>
            <w:tcW w:type="dxa" w:w="5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Provide operator rate accountability data for accurate schedule commitment</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Actual machine throughput rates available for production scheduling decisions</w:t>
            </w:r>
          </w:p>
        </w:tc>
      </w:tr>
    </w:tbl>
    <w:p>
      <w:pPr>
        <w:pBdr>
          <w:bottom w:val="single" w:color="1F3864" w:sz="6" w:space="1"/>
        </w:pBdr>
        <w:spacing w:after="120" w:before="320"/>
      </w:pPr>
      <w:r>
        <w:rPr>
          <w:rFonts w:ascii="Arial" w:cs="Arial" w:eastAsia="Arial" w:hAnsi="Arial"/>
          <w:b/>
          <w:bCs/>
          <w:color w:val="1F3864"/>
          <w:sz w:val="26"/>
          <w:szCs w:val="26"/>
        </w:rPr>
        <w:t xml:space="preserve">4.  Proposed Solution Architecture</w:t>
      </w:r>
    </w:p>
    <w:p>
      <w:pPr>
        <w:spacing w:after="80" w:before="220"/>
      </w:pPr>
      <w:r>
        <w:rPr>
          <w:rFonts w:ascii="Arial" w:cs="Arial" w:eastAsia="Arial" w:hAnsi="Arial"/>
          <w:b/>
          <w:bCs/>
          <w:color w:val="1F3864"/>
          <w:sz w:val="22"/>
          <w:szCs w:val="22"/>
        </w:rPr>
        <w:t xml:space="preserve">4.1  Architecture Overview</w:t>
      </w:r>
    </w:p>
    <w:p>
      <w:pPr>
        <w:spacing w:after="80" w:before="80"/>
      </w:pPr>
      <w:r>
        <w:rPr>
          <w:rFonts w:ascii="Arial" w:cs="Arial" w:eastAsia="Arial" w:hAnsi="Arial"/>
          <w:sz w:val="20"/>
          <w:szCs w:val="20"/>
        </w:rPr>
        <w:t xml:space="preserve">The proposed solution adds a non-invasive IIoT data layer above the existing control infrastructure at both sites. Existing PLC programs are not modified. No production equipment is taken offline during deployment. The data layer reads from existing controllers via their native communication protocols and publishes structured, contextualized data to a central Unified Namespace.</w:t>
      </w:r>
    </w:p>
    <w:p>
      <w:pPr>
        <w:spacing w:after="80" w:before="80"/>
      </w:pPr>
      <w:r>
        <w:rPr>
          <w:rFonts w:ascii="Arial" w:cs="Arial" w:eastAsia="Arial" w:hAnsi="Arial"/>
          <w:sz w:val="20"/>
          <w:szCs w:val="20"/>
        </w:rPr>
        <w:t xml:space="preserve">The Unified Namespace is a single MQTT broker hosting a hierarchically organized data structure where every device at both facilities publishes production data. All downstream consumers — the historian, the SCADA system, the dashboard, and future applications — subscribe from this single source of truth rather than connecting directly to individual machines.</w:t>
      </w:r>
    </w:p>
    <w:p>
      <w:pPr>
        <w:spacing w:after="80" w:before="220"/>
      </w:pPr>
      <w:r>
        <w:rPr>
          <w:rFonts w:ascii="Arial" w:cs="Arial" w:eastAsia="Arial" w:hAnsi="Arial"/>
          <w:b/>
          <w:bCs/>
          <w:color w:val="1F3864"/>
          <w:sz w:val="22"/>
          <w:szCs w:val="22"/>
        </w:rPr>
        <w:t xml:space="preserve">4.2  The Non-Invasive Data Layer</w:t>
      </w:r>
    </w:p>
    <w:p>
      <w:pPr>
        <w:spacing w:after="80" w:before="80"/>
      </w:pPr>
      <w:r>
        <w:rPr>
          <w:rFonts w:ascii="Arial" w:cs="Arial" w:eastAsia="Arial" w:hAnsi="Arial"/>
          <w:sz w:val="20"/>
          <w:szCs w:val="20"/>
        </w:rPr>
        <w:t xml:space="preserve">Every PLC in the Loogootee facility runs its existing control program unchanged. The IIoT integration is accomplished entirely at the edge device layer — an industrial edge controller reads PLC data via each machine’s native protocol and publishes it to the Unified Namespace. The PLCs have no awareness of the data collection layer operating above them.</w:t>
      </w:r>
    </w:p>
    <w:p>
      <w:pPr>
        <w:spacing w:after="80" w:before="80"/>
      </w:pPr>
      <w:r>
        <w:rPr>
          <w:rFonts w:ascii="Arial" w:cs="Arial" w:eastAsia="Arial" w:hAnsi="Arial"/>
          <w:sz w:val="20"/>
          <w:szCs w:val="20"/>
        </w:rPr>
        <w:t xml:space="preserve">For newer controllers with OPC-UA capability, the edge device subscribes to specific tags and receives value change notifications automatically — no polling, no impact on PLC scan time. For legacy controllers without network capability, protocol gateways bridge the serial communication to Ethernet, making the data accessible to the edge device without any modification to the original equipment.</w:t>
      </w:r>
    </w:p>
    <w:p>
      <w:pPr>
        <w:spacing w:after="80" w:before="220"/>
      </w:pPr>
      <w:r>
        <w:rPr>
          <w:rFonts w:ascii="Arial" w:cs="Arial" w:eastAsia="Arial" w:hAnsi="Arial"/>
          <w:b/>
          <w:bCs/>
          <w:color w:val="1F3864"/>
          <w:sz w:val="22"/>
          <w:szCs w:val="22"/>
        </w:rPr>
        <w:t xml:space="preserve">4.3  Data Architecture — ISA-95 Naming Standard</w:t>
      </w:r>
    </w:p>
    <w:p>
      <w:pPr>
        <w:spacing w:after="80" w:before="80"/>
      </w:pPr>
      <w:r>
        <w:rPr>
          <w:rFonts w:ascii="Arial" w:cs="Arial" w:eastAsia="Arial" w:hAnsi="Arial"/>
          <w:sz w:val="20"/>
          <w:szCs w:val="20"/>
        </w:rPr>
        <w:t xml:space="preserve">All data published to the Unified Namespace follows the ISA-95 Snake_Case tag naming convention throughout. Every tag name carries its full context in the name itself:</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Formula:   [Area]_[Line]_[Cell]_[Device]_[Attribute]</w:t>
            </w:r>
          </w:p>
          <w:p>
            <w:r>
              <w:rPr>
                <w:rFonts w:ascii="Courier New" w:cs="Courier New" w:eastAsia="Courier New" w:hAnsi="Courier New"/>
                <w:color w:val="90EE90"/>
                <w:sz w:val="18"/>
                <w:szCs w:val="18"/>
              </w:rPr>
              <w:t xml:space="preserve">Example:   Stamping_Line01_Press1_PartCounter_Shift</w:t>
            </w:r>
          </w:p>
          <w:p>
            <w:r>
              <w:rPr>
                <w:rFonts w:ascii="Courier New" w:cs="Courier New" w:eastAsia="Courier New" w:hAnsi="Courier New"/>
                <w:color w:val="90EE90"/>
                <w:sz w:val="18"/>
                <w:szCs w:val="18"/>
              </w:rPr>
              <w:t xml:space="preserve">Example:   Stamping_Line01_Press1_CycleTime_Average_Sec</w:t>
            </w:r>
          </w:p>
          <w:p>
            <w:r>
              <w:rPr>
                <w:rFonts w:ascii="Courier New" w:cs="Courier New" w:eastAsia="Courier New" w:hAnsi="Courier New"/>
                <w:color w:val="90EE90"/>
                <w:sz w:val="18"/>
                <w:szCs w:val="18"/>
              </w:rPr>
              <w:t xml:space="preserve">Example:   Packaging_Site2_Conveyor_Drive01_Speed_RPM</w:t>
            </w:r>
          </w:p>
        </w:tc>
      </w:tr>
    </w:tbl>
    <w:p>
      <w:pPr>
        <w:spacing w:after="80" w:before="80"/>
      </w:pPr>
      <w:r>
        <w:rPr>
          <w:rFonts w:ascii="Arial" w:cs="Arial" w:eastAsia="Arial" w:hAnsi="Arial"/>
          <w:sz w:val="20"/>
          <w:szCs w:val="20"/>
        </w:rPr>
        <w:t xml:space="preserve">This naming convention maps directly to the MQTT topic structure, eliminating any translation layer between the machine data table and the enterprise data layer. A tag named correctly in the PLC program appears identically named in the historian, the SCADA tag browser, and the Grafana dashboard.</w:t>
      </w:r>
    </w:p>
    <w:p>
      <w:pPr>
        <w:spacing w:after="80" w:before="220"/>
      </w:pPr>
      <w:r>
        <w:rPr>
          <w:rFonts w:ascii="Arial" w:cs="Arial" w:eastAsia="Arial" w:hAnsi="Arial"/>
          <w:b/>
          <w:bCs/>
          <w:color w:val="1F3864"/>
          <w:sz w:val="22"/>
          <w:szCs w:val="22"/>
        </w:rPr>
        <w:t xml:space="preserve">4.4  Two-Site Unified Namespace</w:t>
      </w:r>
    </w:p>
    <w:p>
      <w:pPr>
        <w:spacing w:after="80" w:before="80"/>
      </w:pPr>
      <w:r>
        <w:rPr>
          <w:rFonts w:ascii="Arial" w:cs="Arial" w:eastAsia="Arial" w:hAnsi="Arial"/>
          <w:sz w:val="20"/>
          <w:szCs w:val="20"/>
        </w:rPr>
        <w:t xml:space="preserve">Both facilities publish to a single Unified Namespace hosted on a central IIoT server at Site 1. Site 2 connects via the existing fiber link between the two buildings. From the data layer perspective, the two-building operation appears as a single unified system with a clear ISA-95 site hierarchy: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Enterprise</w:t>
            </w:r>
          </w:p>
          <w:p>
            <w:r>
              <w:rPr>
                <w:rFonts w:ascii="Courier New" w:cs="Courier New" w:eastAsia="Courier New" w:hAnsi="Courier New"/>
                <w:color w:val="E8E8E8"/>
                <w:sz w:val="18"/>
                <w:szCs w:val="18"/>
              </w:rPr>
              <w:t xml:space="preserve">└─ Loogootee_Mfg</w:t>
            </w:r>
          </w:p>
          <w:p>
            <w:r>
              <w:rPr>
                <w:rFonts w:ascii="Courier New" w:cs="Courier New" w:eastAsia="Courier New" w:hAnsi="Courier New"/>
                <w:color w:val="D5E8F0"/>
                <w:sz w:val="18"/>
                <w:szCs w:val="18"/>
              </w:rPr>
              <w:t xml:space="preserve">   ├─ Site1_Stamping</w:t>
            </w:r>
          </w:p>
          <w:p>
            <w:r>
              <w:rPr>
                <w:rFonts w:ascii="Courier New" w:cs="Courier New" w:eastAsia="Courier New" w:hAnsi="Courier New"/>
                <w:color w:val="E8E8E8"/>
                <w:sz w:val="18"/>
                <w:szCs w:val="18"/>
              </w:rPr>
              <w:t xml:space="preserve">   │  ├─ Area1_Stamping   (MicroLogix 1400 ×2, MicroLogix 1000)</w:t>
            </w:r>
          </w:p>
          <w:p>
            <w:r>
              <w:rPr>
                <w:rFonts w:ascii="Courier New" w:cs="Courier New" w:eastAsia="Courier New" w:hAnsi="Courier New"/>
                <w:color w:val="E8E8E8"/>
                <w:sz w:val="18"/>
                <w:szCs w:val="18"/>
              </w:rPr>
              <w:t xml:space="preserve">   │  ├─ Area2_Trimming   (Micro850 ×2)</w:t>
            </w:r>
          </w:p>
          <w:p>
            <w:r>
              <w:rPr>
                <w:rFonts w:ascii="Courier New" w:cs="Courier New" w:eastAsia="Courier New" w:hAnsi="Courier New"/>
                <w:color w:val="E8E8E8"/>
                <w:sz w:val="18"/>
                <w:szCs w:val="18"/>
              </w:rPr>
              <w:t xml:space="preserve">   │  ├─ Area3_Washing    (CompactLogix L24ER)</w:t>
            </w:r>
          </w:p>
          <w:p>
            <w:r>
              <w:rPr>
                <w:rFonts w:ascii="Courier New" w:cs="Courier New" w:eastAsia="Courier New" w:hAnsi="Courier New"/>
                <w:color w:val="E8E8E8"/>
                <w:sz w:val="18"/>
                <w:szCs w:val="18"/>
              </w:rPr>
              <w:t xml:space="preserve">   │  ├─ Area4_Forming    (Beckhoff CX5120)</w:t>
            </w:r>
          </w:p>
          <w:p>
            <w:r>
              <w:rPr>
                <w:rFonts w:ascii="Courier New" w:cs="Courier New" w:eastAsia="Courier New" w:hAnsi="Courier New"/>
                <w:color w:val="E8E8E8"/>
                <w:sz w:val="18"/>
                <w:szCs w:val="18"/>
              </w:rPr>
              <w:t xml:space="preserve">   │  └─ Area5_Safety     (GuardLogix)</w:t>
            </w:r>
          </w:p>
          <w:p>
            <w:r>
              <w:rPr>
                <w:rFonts w:ascii="Courier New" w:cs="Courier New" w:eastAsia="Courier New" w:hAnsi="Courier New"/>
                <w:color w:val="D5E8F0"/>
                <w:sz w:val="18"/>
                <w:szCs w:val="18"/>
              </w:rPr>
              <w:t xml:space="preserve">   └─ Site2_Packaging</w:t>
            </w:r>
          </w:p>
          <w:p>
            <w:r>
              <w:rPr>
                <w:rFonts w:ascii="Courier New" w:cs="Courier New" w:eastAsia="Courier New" w:hAnsi="Courier New"/>
                <w:color w:val="E8E8E8"/>
                <w:sz w:val="18"/>
                <w:szCs w:val="18"/>
              </w:rPr>
              <w:t xml:space="preserve">      ├─ Area1_SortPack   (Siemens S7-1200)</w:t>
            </w:r>
          </w:p>
          <w:p>
            <w:r>
              <w:rPr>
                <w:rFonts w:ascii="Courier New" w:cs="Courier New" w:eastAsia="Courier New" w:hAnsi="Courier New"/>
                <w:color w:val="E8E8E8"/>
                <w:sz w:val="18"/>
                <w:szCs w:val="18"/>
              </w:rPr>
              <w:t xml:space="preserve">      ├─ Area2_Conveyor   (Siemens ET200SP / S7-1200)</w:t>
            </w:r>
          </w:p>
          <w:p>
            <w:r>
              <w:rPr>
                <w:rFonts w:ascii="Courier New" w:cs="Courier New" w:eastAsia="Courier New" w:hAnsi="Courier New"/>
                <w:color w:val="E8E8E8"/>
                <w:sz w:val="18"/>
                <w:szCs w:val="18"/>
              </w:rPr>
              <w:t xml:space="preserve">      └─ Area3_Packaging  (Siemens S7-1200)</w:t>
            </w:r>
          </w:p>
        </w:tc>
      </w:tr>
    </w:tbl>
    <w:p>
      <w:pPr>
        <w:pBdr>
          <w:bottom w:val="single" w:color="1F3864" w:sz="6" w:space="1"/>
        </w:pBdr>
        <w:spacing w:after="120" w:before="320"/>
      </w:pPr>
      <w:r>
        <w:rPr>
          <w:rFonts w:ascii="Arial" w:cs="Arial" w:eastAsia="Arial" w:hAnsi="Arial"/>
          <w:b/>
          <w:bCs/>
          <w:color w:val="1F3864"/>
          <w:sz w:val="26"/>
          <w:szCs w:val="26"/>
        </w:rPr>
        <w:t xml:space="preserve">5.  Scope of Work</w:t>
      </w:r>
    </w:p>
    <w:p>
      <w:pPr>
        <w:spacing w:after="80" w:before="220"/>
      </w:pPr>
      <w:r>
        <w:rPr>
          <w:rFonts w:ascii="Arial" w:cs="Arial" w:eastAsia="Arial" w:hAnsi="Arial"/>
          <w:b/>
          <w:bCs/>
          <w:color w:val="1F3864"/>
          <w:sz w:val="22"/>
          <w:szCs w:val="22"/>
        </w:rPr>
        <w:t xml:space="preserve">5.1  Included in Scope</w:t>
      </w:r>
    </w:p>
    <w:p>
      <w:pPr>
        <w:pStyle w:val="ListParagraph"/>
        <w:numPr>
          <w:ilvl w:val="0"/>
          <w:numId w:val="2"/>
        </w:numPr>
        <w:spacing w:after="40" w:before="40"/>
      </w:pPr>
      <w:r>
        <w:rPr>
          <w:rFonts w:ascii="Arial" w:cs="Arial" w:eastAsia="Arial" w:hAnsi="Arial"/>
          <w:sz w:val="20"/>
          <w:szCs w:val="20"/>
        </w:rPr>
        <w:t xml:space="preserve">Site survey and documentation of all production equipment, control platforms, existing network infrastructure, and communication protocols at both facilities</w:t>
      </w:r>
    </w:p>
    <w:p>
      <w:pPr>
        <w:pStyle w:val="ListParagraph"/>
        <w:numPr>
          <w:ilvl w:val="0"/>
          <w:numId w:val="2"/>
        </w:numPr>
        <w:spacing w:after="40" w:before="40"/>
      </w:pPr>
      <w:r>
        <w:rPr>
          <w:rFonts w:ascii="Arial" w:cs="Arial" w:eastAsia="Arial" w:hAnsi="Arial"/>
          <w:sz w:val="20"/>
          <w:szCs w:val="20"/>
        </w:rPr>
        <w:t xml:space="preserve">Installation and configuration of edge IIoT infrastructure at Site 1 — groov EPIC edge controller, Raspberry Pi MQTT broker, IIoT server</w:t>
      </w:r>
    </w:p>
    <w:p>
      <w:pPr>
        <w:pStyle w:val="ListParagraph"/>
        <w:numPr>
          <w:ilvl w:val="0"/>
          <w:numId w:val="2"/>
        </w:numPr>
        <w:spacing w:after="40" w:before="40"/>
      </w:pPr>
      <w:r>
        <w:rPr>
          <w:rFonts w:ascii="Arial" w:cs="Arial" w:eastAsia="Arial" w:hAnsi="Arial"/>
          <w:sz w:val="20"/>
          <w:szCs w:val="20"/>
        </w:rPr>
        <w:t xml:space="preserve">Installation and configuration of protocol gateways for legacy equipment without native Ethernet capability</w:t>
      </w:r>
    </w:p>
    <w:p>
      <w:pPr>
        <w:pStyle w:val="ListParagraph"/>
        <w:numPr>
          <w:ilvl w:val="0"/>
          <w:numId w:val="2"/>
        </w:numPr>
        <w:spacing w:after="40" w:before="40"/>
      </w:pPr>
      <w:r>
        <w:rPr>
          <w:rFonts w:ascii="Arial" w:cs="Arial" w:eastAsia="Arial" w:hAnsi="Arial"/>
          <w:sz w:val="20"/>
          <w:szCs w:val="20"/>
        </w:rPr>
        <w:t xml:space="preserve">Network infrastructure assessment and VLAN segmentation configuration for OT/IT separation</w:t>
      </w:r>
    </w:p>
    <w:p>
      <w:pPr>
        <w:pStyle w:val="ListParagraph"/>
        <w:numPr>
          <w:ilvl w:val="0"/>
          <w:numId w:val="2"/>
        </w:numPr>
        <w:spacing w:after="40" w:before="40"/>
      </w:pPr>
      <w:r>
        <w:rPr>
          <w:rFonts w:ascii="Arial" w:cs="Arial" w:eastAsia="Arial" w:hAnsi="Arial"/>
          <w:sz w:val="20"/>
          <w:szCs w:val="20"/>
        </w:rPr>
        <w:t xml:space="preserve">Node-RED flow development for all protocol bridging paths — EtherNet/IP, Modbus TCP, OPC-UA, DF1 via gateway, PROFINET via OPC-UA</w:t>
      </w:r>
    </w:p>
    <w:p>
      <w:pPr>
        <w:pStyle w:val="ListParagraph"/>
        <w:numPr>
          <w:ilvl w:val="0"/>
          <w:numId w:val="2"/>
        </w:numPr>
        <w:spacing w:after="40" w:before="40"/>
      </w:pPr>
      <w:r>
        <w:rPr>
          <w:rFonts w:ascii="Arial" w:cs="Arial" w:eastAsia="Arial" w:hAnsi="Arial"/>
          <w:sz w:val="20"/>
          <w:szCs w:val="20"/>
        </w:rPr>
        <w:t xml:space="preserve">ISA-95 tag naming standard applied to all data collection points across both sites</w:t>
      </w:r>
    </w:p>
    <w:p>
      <w:pPr>
        <w:pStyle w:val="ListParagraph"/>
        <w:numPr>
          <w:ilvl w:val="0"/>
          <w:numId w:val="2"/>
        </w:numPr>
        <w:spacing w:after="40" w:before="40"/>
      </w:pPr>
      <w:r>
        <w:rPr>
          <w:rFonts w:ascii="Arial" w:cs="Arial" w:eastAsia="Arial" w:hAnsi="Arial"/>
          <w:sz w:val="20"/>
          <w:szCs w:val="20"/>
        </w:rPr>
        <w:t xml:space="preserve">Sparkplug B Unified Namespace configuration and broker deployment</w:t>
      </w:r>
    </w:p>
    <w:p>
      <w:pPr>
        <w:pStyle w:val="ListParagraph"/>
        <w:numPr>
          <w:ilvl w:val="0"/>
          <w:numId w:val="2"/>
        </w:numPr>
        <w:spacing w:after="40" w:before="40"/>
      </w:pPr>
      <w:r>
        <w:rPr>
          <w:rFonts w:ascii="Arial" w:cs="Arial" w:eastAsia="Arial" w:hAnsi="Arial"/>
          <w:sz w:val="20"/>
          <w:szCs w:val="20"/>
        </w:rPr>
        <w:t xml:space="preserve">InfluxDB historian deployment and configuration — all machine data points, both sites</w:t>
      </w:r>
    </w:p>
    <w:p>
      <w:pPr>
        <w:pStyle w:val="ListParagraph"/>
        <w:numPr>
          <w:ilvl w:val="0"/>
          <w:numId w:val="2"/>
        </w:numPr>
        <w:spacing w:after="40" w:before="40"/>
      </w:pPr>
      <w:r>
        <w:rPr>
          <w:rFonts w:ascii="Arial" w:cs="Arial" w:eastAsia="Arial" w:hAnsi="Arial"/>
          <w:sz w:val="20"/>
          <w:szCs w:val="20"/>
        </w:rPr>
        <w:t xml:space="preserve">Grafana dashboard development — machine detail views, site overview, cross-site production flow, OEE dashboard</w:t>
      </w:r>
    </w:p>
    <w:p>
      <w:pPr>
        <w:pStyle w:val="ListParagraph"/>
        <w:numPr>
          <w:ilvl w:val="0"/>
          <w:numId w:val="2"/>
        </w:numPr>
        <w:spacing w:after="40" w:before="40"/>
      </w:pPr>
      <w:r>
        <w:rPr>
          <w:rFonts w:ascii="Arial" w:cs="Arial" w:eastAsia="Arial" w:hAnsi="Arial"/>
          <w:sz w:val="20"/>
          <w:szCs w:val="20"/>
        </w:rPr>
        <w:t xml:space="preserve">Ignition SCADA deployment — MQTT Engine configuration, Perspective HMI screens, tag historian</w:t>
      </w:r>
    </w:p>
    <w:p>
      <w:pPr>
        <w:pStyle w:val="ListParagraph"/>
        <w:numPr>
          <w:ilvl w:val="0"/>
          <w:numId w:val="2"/>
        </w:numPr>
        <w:spacing w:after="40" w:before="40"/>
      </w:pPr>
      <w:r>
        <w:rPr>
          <w:rFonts w:ascii="Arial" w:cs="Arial" w:eastAsia="Arial" w:hAnsi="Arial"/>
          <w:sz w:val="20"/>
          <w:szCs w:val="20"/>
        </w:rPr>
        <w:t xml:space="preserve">OEE calculation configuration — Availability, Performance, Quality at machine and line level</w:t>
      </w:r>
    </w:p>
    <w:p>
      <w:pPr>
        <w:pStyle w:val="ListParagraph"/>
        <w:numPr>
          <w:ilvl w:val="0"/>
          <w:numId w:val="2"/>
        </w:numPr>
        <w:spacing w:after="40" w:before="40"/>
      </w:pPr>
      <w:r>
        <w:rPr>
          <w:rFonts w:ascii="Arial" w:cs="Arial" w:eastAsia="Arial" w:hAnsi="Arial"/>
          <w:sz w:val="20"/>
          <w:szCs w:val="20"/>
        </w:rPr>
        <w:t xml:space="preserve">Cross-site part tracking implementation replacing paper travelers</w:t>
      </w:r>
    </w:p>
    <w:p>
      <w:pPr>
        <w:pStyle w:val="ListParagraph"/>
        <w:numPr>
          <w:ilvl w:val="0"/>
          <w:numId w:val="2"/>
        </w:numPr>
        <w:spacing w:after="40" w:before="40"/>
      </w:pPr>
      <w:r>
        <w:rPr>
          <w:rFonts w:ascii="Arial" w:cs="Arial" w:eastAsia="Arial" w:hAnsi="Arial"/>
          <w:sz w:val="20"/>
          <w:szCs w:val="20"/>
        </w:rPr>
        <w:t xml:space="preserve">Operator and maintenance staff training on dashboard and data access tools</w:t>
      </w:r>
    </w:p>
    <w:p>
      <w:pPr>
        <w:pStyle w:val="ListParagraph"/>
        <w:numPr>
          <w:ilvl w:val="0"/>
          <w:numId w:val="2"/>
        </w:numPr>
        <w:spacing w:after="40" w:before="40"/>
      </w:pPr>
      <w:r>
        <w:rPr>
          <w:rFonts w:ascii="Arial" w:cs="Arial" w:eastAsia="Arial" w:hAnsi="Arial"/>
          <w:sz w:val="20"/>
          <w:szCs w:val="20"/>
        </w:rPr>
        <w:t xml:space="preserve">Project documentation — as-built network diagrams, tag register, Node-RED flow documentation, user guide</w:t>
      </w:r>
    </w:p>
    <w:p>
      <w:pPr>
        <w:spacing w:after="80" w:before="220"/>
      </w:pPr>
      <w:r>
        <w:rPr>
          <w:rFonts w:ascii="Arial" w:cs="Arial" w:eastAsia="Arial" w:hAnsi="Arial"/>
          <w:b/>
          <w:bCs/>
          <w:color w:val="1F3864"/>
          <w:sz w:val="22"/>
          <w:szCs w:val="22"/>
        </w:rPr>
        <w:t xml:space="preserve">5.2  Excluded from Scope</w:t>
      </w:r>
    </w:p>
    <w:p>
      <w:pPr>
        <w:pStyle w:val="ListParagraph"/>
        <w:numPr>
          <w:ilvl w:val="0"/>
          <w:numId w:val="2"/>
        </w:numPr>
        <w:spacing w:after="40" w:before="40"/>
      </w:pPr>
      <w:r>
        <w:rPr>
          <w:rFonts w:ascii="Arial" w:cs="Arial" w:eastAsia="Arial" w:hAnsi="Arial"/>
          <w:sz w:val="20"/>
          <w:szCs w:val="20"/>
        </w:rPr>
        <w:t xml:space="preserve">Modification of any existing PLC control programs</w:t>
      </w:r>
    </w:p>
    <w:p>
      <w:pPr>
        <w:pStyle w:val="ListParagraph"/>
        <w:numPr>
          <w:ilvl w:val="0"/>
          <w:numId w:val="2"/>
        </w:numPr>
        <w:spacing w:after="40" w:before="40"/>
      </w:pPr>
      <w:r>
        <w:rPr>
          <w:rFonts w:ascii="Arial" w:cs="Arial" w:eastAsia="Arial" w:hAnsi="Arial"/>
          <w:sz w:val="20"/>
          <w:szCs w:val="20"/>
        </w:rPr>
        <w:t xml:space="preserve">Hardware replacement or repair of existing production equipment</w:t>
      </w:r>
    </w:p>
    <w:p>
      <w:pPr>
        <w:pStyle w:val="ListParagraph"/>
        <w:numPr>
          <w:ilvl w:val="0"/>
          <w:numId w:val="2"/>
        </w:numPr>
        <w:spacing w:after="40" w:before="40"/>
      </w:pPr>
      <w:r>
        <w:rPr>
          <w:rFonts w:ascii="Arial" w:cs="Arial" w:eastAsia="Arial" w:hAnsi="Arial"/>
          <w:sz w:val="20"/>
          <w:szCs w:val="20"/>
        </w:rPr>
        <w:t xml:space="preserve">ERP or MES system integration — data infrastructure only in this phase</w:t>
      </w:r>
    </w:p>
    <w:p>
      <w:pPr>
        <w:pStyle w:val="ListParagraph"/>
        <w:numPr>
          <w:ilvl w:val="0"/>
          <w:numId w:val="2"/>
        </w:numPr>
        <w:spacing w:after="40" w:before="40"/>
      </w:pPr>
      <w:r>
        <w:rPr>
          <w:rFonts w:ascii="Arial" w:cs="Arial" w:eastAsia="Arial" w:hAnsi="Arial"/>
          <w:sz w:val="20"/>
          <w:szCs w:val="20"/>
        </w:rPr>
        <w:t xml:space="preserve">Cybersecurity hardening beyond basic OT/IT network segmentation</w:t>
      </w:r>
    </w:p>
    <w:p>
      <w:pPr>
        <w:pStyle w:val="ListParagraph"/>
        <w:numPr>
          <w:ilvl w:val="0"/>
          <w:numId w:val="2"/>
        </w:numPr>
        <w:spacing w:after="40" w:before="40"/>
      </w:pPr>
      <w:r>
        <w:rPr>
          <w:rFonts w:ascii="Arial" w:cs="Arial" w:eastAsia="Arial" w:hAnsi="Arial"/>
          <w:sz w:val="20"/>
          <w:szCs w:val="20"/>
        </w:rPr>
        <w:t xml:space="preserve">Cloud connectivity or off-premises data hosting</w:t>
      </w:r>
    </w:p>
    <w:p>
      <w:pPr>
        <w:pStyle w:val="ListParagraph"/>
        <w:numPr>
          <w:ilvl w:val="0"/>
          <w:numId w:val="2"/>
        </w:numPr>
        <w:spacing w:after="40" w:before="40"/>
      </w:pPr>
      <w:r>
        <w:rPr>
          <w:rFonts w:ascii="Arial" w:cs="Arial" w:eastAsia="Arial" w:hAnsi="Arial"/>
          <w:sz w:val="20"/>
          <w:szCs w:val="20"/>
        </w:rPr>
        <w:t xml:space="preserve">Mobile device management or remote access VPN configuration</w:t>
      </w:r>
    </w:p>
    <w:p>
      <w:pPr>
        <w:pBdr>
          <w:bottom w:val="single" w:color="1F3864" w:sz="6" w:space="1"/>
        </w:pBdr>
        <w:spacing w:after="120" w:before="320"/>
      </w:pPr>
      <w:r>
        <w:rPr>
          <w:rFonts w:ascii="Arial" w:cs="Arial" w:eastAsia="Arial" w:hAnsi="Arial"/>
          <w:b/>
          <w:bCs/>
          <w:color w:val="1F3864"/>
          <w:sz w:val="26"/>
          <w:szCs w:val="26"/>
        </w:rPr>
        <w:t xml:space="preserve">6.  Implementation Plan</w:t>
      </w:r>
    </w:p>
    <w:p>
      <w:pPr>
        <w:spacing w:after="80" w:before="80"/>
      </w:pPr>
      <w:r>
        <w:rPr>
          <w:rFonts w:ascii="Arial" w:cs="Arial" w:eastAsia="Arial" w:hAnsi="Arial"/>
          <w:sz w:val="20"/>
          <w:szCs w:val="20"/>
        </w:rPr>
        <w:t xml:space="preserve">The project is organized into four phases. Each phase is fully operational before the next phase begins. No phase introduces risk to production operations.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4400"/>
        <w:gridCol w:w="2600"/>
      </w:tblGrid>
      <w:tr>
        <w:tc>
          <w:tcPr>
            <w:tcW w:type="dxa" w:w="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Focus</w:t>
            </w:r>
          </w:p>
        </w:tc>
        <w:tc>
          <w:tcPr>
            <w:tcW w:type="dxa" w:w="4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2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Duration</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Infrastructure and First Machine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IIoT server deployed. Broker operational. Edge controller commissioned. First machine integrated end to end — data visible in historian and dashboard.</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4–6 weeks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Site 1 Full Integration</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Site 1 machines connected. OEE calculating for all stamping and finishing equipment. Site 1 dashboard complete. Historian accumulating.</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6–8 weeks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Site 2 Integration and Cross-Site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Site 2 machines connected. Cross-site part tracking operational. Combined dashboard showing both sites. Paper traveler system retired.</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4–6 weeks</w:t>
            </w:r>
          </w:p>
        </w:tc>
      </w:tr>
      <w:tr>
        <w:tc>
          <w:tcPr>
            <w:tcW w:type="dxa" w:w="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SCADA, Historian, and Handover</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Perspective screens deployed. Full historian operational. Customer documentation exports configured. Staff training complete. Project documentation delivered.</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3–4 weeks</w:t>
            </w:r>
          </w:p>
        </w:tc>
      </w:tr>
    </w:tbl>
    <w:p>
      <w:pPr>
        <w:pBdr>
          <w:bottom w:val="single" w:color="1F3864" w:sz="6" w:space="1"/>
        </w:pBdr>
        <w:spacing w:after="120" w:before="320"/>
      </w:pPr>
      <w:r>
        <w:rPr>
          <w:rFonts w:ascii="Arial" w:cs="Arial" w:eastAsia="Arial" w:hAnsi="Arial"/>
          <w:b/>
          <w:bCs/>
          <w:color w:val="1F3864"/>
          <w:sz w:val="26"/>
          <w:szCs w:val="26"/>
        </w:rPr>
        <w:t xml:space="preserve">7.  Proposed Solution Hardware and Software</w:t>
      </w:r>
    </w:p>
    <w:p>
      <w:pPr>
        <w:spacing w:after="80" w:before="220"/>
      </w:pPr>
      <w:r>
        <w:rPr>
          <w:rFonts w:ascii="Arial" w:cs="Arial" w:eastAsia="Arial" w:hAnsi="Arial"/>
          <w:b/>
          <w:bCs/>
          <w:color w:val="1F3864"/>
          <w:sz w:val="22"/>
          <w:szCs w:val="22"/>
        </w:rPr>
        <w:t xml:space="preserve">7.1  IIoT Infrastructure — New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45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18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groov EPIC-PR1 Edge Controller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line supervisor, protocol bridging, Node-RED, OPC-UA</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main panel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Raspberry Pi 4B</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Dedicated MQTT broker — Unified Namespace host</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IIoT server rack</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Industrial IIoT Server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Node-RED, InfluxDB, Grafana, Ignition SCADA</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IIoT server rack</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Moxa MGate EIP3170</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Legacy MicroLogix 1000 DF1 serial to EtherNet/IP bridge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panel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Moxa MGate MB3170</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PowerFlex 4 drives Modbus RTU to Modbus TCP bridge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panel</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Managed Ethernet Switch</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OT network segmentation, VLAN configuration</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IIoT server rack</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WiFi Access Point</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Wireless HMI access for tablet and mobile displays</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1 floor</w:t>
            </w:r>
          </w:p>
        </w:tc>
      </w:tr>
    </w:tbl>
    <w:p>
      <w:pPr>
        <w:spacing w:after="80" w:before="220"/>
      </w:pPr>
      <w:r>
        <w:rPr>
          <w:rFonts w:ascii="Arial" w:cs="Arial" w:eastAsia="Arial" w:hAnsi="Arial"/>
          <w:b/>
          <w:bCs/>
          <w:color w:val="1F3864"/>
          <w:sz w:val="22"/>
          <w:szCs w:val="22"/>
        </w:rPr>
        <w:t xml:space="preserve">7.2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c>
          <w:tcPr>
            <w:tcW w:type="dxa" w:w="2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Software</w:t>
            </w:r>
          </w:p>
        </w:tc>
        <w:tc>
          <w:tcPr>
            <w:tcW w:type="dxa" w:w="45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w:t>
            </w:r>
          </w:p>
        </w:tc>
        <w:tc>
          <w:tcPr>
            <w:tcW w:type="dxa" w:w="22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License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Eclipse Mosquitto</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MQTT broker — Unified Namespace</w:t>
            </w:r>
          </w:p>
        </w:tc>
        <w:tc>
          <w:tcPr>
            <w:tcW w:type="dxa" w:w="2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Free — open source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Node-RED</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Protocol bridging, data transformation, flow automation</w:t>
            </w:r>
          </w:p>
        </w:tc>
        <w:tc>
          <w:tcPr>
            <w:tcW w:type="dxa" w:w="2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Free — open source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InfluxDB OSS</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Time series historian</w:t>
            </w:r>
          </w:p>
        </w:tc>
        <w:tc>
          <w:tcPr>
            <w:tcW w:type="dxa" w:w="2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Free — open source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Grafana OSS</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Dashboard and visualization</w:t>
            </w:r>
          </w:p>
        </w:tc>
        <w:tc>
          <w:tcPr>
            <w:tcW w:type="dxa" w:w="2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Free — open source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Ignition by Inductive Automation</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SCADA, MQTT Engine, Perspective HMI, historian</w:t>
            </w:r>
          </w:p>
        </w:tc>
        <w:tc>
          <w:tcPr>
            <w:tcW w:type="dxa" w:w="2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Licensed — perpetual</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groov Manage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Edge controller configuration and management</w:t>
            </w:r>
          </w:p>
        </w:tc>
        <w:tc>
          <w:tcPr>
            <w:tcW w:type="dxa" w:w="2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Included with EPIC hardware</w:t>
            </w:r>
          </w:p>
        </w:tc>
      </w:tr>
    </w:tbl>
    <w:p>
      <w:pPr>
        <w:pBdr>
          <w:bottom w:val="single" w:color="1F3864" w:sz="6" w:space="1"/>
        </w:pBdr>
        <w:spacing w:after="120" w:before="320"/>
      </w:pPr>
      <w:r>
        <w:rPr>
          <w:rFonts w:ascii="Arial" w:cs="Arial" w:eastAsia="Arial" w:hAnsi="Arial"/>
          <w:b/>
          <w:bCs/>
          <w:color w:val="1F3864"/>
          <w:sz w:val="26"/>
          <w:szCs w:val="26"/>
        </w:rPr>
        <w:t xml:space="preserve">8.  Assumptions and Dependencies</w:t>
      </w:r>
    </w:p>
    <w:p>
      <w:pPr>
        <w:pStyle w:val="ListParagraph"/>
        <w:numPr>
          <w:ilvl w:val="0"/>
          <w:numId w:val="2"/>
        </w:numPr>
        <w:spacing w:after="40" w:before="40"/>
      </w:pPr>
      <w:r>
        <w:rPr>
          <w:rFonts w:ascii="Arial" w:cs="Arial" w:eastAsia="Arial" w:hAnsi="Arial"/>
          <w:sz w:val="20"/>
          <w:szCs w:val="20"/>
        </w:rPr>
        <w:t xml:space="preserve">Existing PLC programs are functional and production equipment is operational at project start</w:t>
      </w:r>
    </w:p>
    <w:p>
      <w:pPr>
        <w:pStyle w:val="ListParagraph"/>
        <w:numPr>
          <w:ilvl w:val="0"/>
          <w:numId w:val="2"/>
        </w:numPr>
        <w:spacing w:after="40" w:before="40"/>
      </w:pPr>
      <w:r>
        <w:rPr>
          <w:rFonts w:ascii="Arial" w:cs="Arial" w:eastAsia="Arial" w:hAnsi="Arial"/>
          <w:sz w:val="20"/>
          <w:szCs w:val="20"/>
        </w:rPr>
        <w:t xml:space="preserve">A fiber or Ethernet link between Site 1 and Site 2 is available or will be established prior to Phase 3</w:t>
      </w:r>
    </w:p>
    <w:p>
      <w:pPr>
        <w:pStyle w:val="ListParagraph"/>
        <w:numPr>
          <w:ilvl w:val="0"/>
          <w:numId w:val="2"/>
        </w:numPr>
        <w:spacing w:after="40" w:before="40"/>
      </w:pPr>
      <w:r>
        <w:rPr>
          <w:rFonts w:ascii="Arial" w:cs="Arial" w:eastAsia="Arial" w:hAnsi="Arial"/>
          <w:sz w:val="20"/>
          <w:szCs w:val="20"/>
        </w:rPr>
        <w:t xml:space="preserve">Customer IT will provide network access credentials and firewall configuration support for OT/IT segmentation</w:t>
      </w:r>
    </w:p>
    <w:p>
      <w:pPr>
        <w:pStyle w:val="ListParagraph"/>
        <w:numPr>
          <w:ilvl w:val="0"/>
          <w:numId w:val="2"/>
        </w:numPr>
        <w:spacing w:after="40" w:before="40"/>
      </w:pPr>
      <w:r>
        <w:rPr>
          <w:rFonts w:ascii="Arial" w:cs="Arial" w:eastAsia="Arial" w:hAnsi="Arial"/>
          <w:sz w:val="20"/>
          <w:szCs w:val="20"/>
        </w:rPr>
        <w:t xml:space="preserve">Production schedules allow brief maintenance windows for edge device installation without equipment shutdown</w:t>
      </w:r>
    </w:p>
    <w:p>
      <w:pPr>
        <w:pStyle w:val="ListParagraph"/>
        <w:numPr>
          <w:ilvl w:val="0"/>
          <w:numId w:val="2"/>
        </w:numPr>
        <w:spacing w:after="40" w:before="40"/>
      </w:pPr>
      <w:r>
        <w:rPr>
          <w:rFonts w:ascii="Arial" w:cs="Arial" w:eastAsia="Arial" w:hAnsi="Arial"/>
          <w:sz w:val="20"/>
          <w:szCs w:val="20"/>
        </w:rPr>
        <w:t xml:space="preserve">PLC program source files are available for tag identification — online monitoring acceptable if source files unavailable</w:t>
      </w:r>
    </w:p>
    <w:p>
      <w:pPr>
        <w:pStyle w:val="ListParagraph"/>
        <w:numPr>
          <w:ilvl w:val="0"/>
          <w:numId w:val="2"/>
        </w:numPr>
        <w:spacing w:after="40" w:before="40"/>
      </w:pPr>
      <w:r>
        <w:rPr>
          <w:rFonts w:ascii="Arial" w:cs="Arial" w:eastAsia="Arial" w:hAnsi="Arial"/>
          <w:sz w:val="20"/>
          <w:szCs w:val="20"/>
        </w:rPr>
        <w:t xml:space="preserve">Management authorization is in place for all proposed infrastructure changes prior to project start</w:t>
      </w:r>
    </w:p>
    <w:p>
      <w:pPr>
        <w:pBdr>
          <w:bottom w:val="single" w:color="1F3864" w:sz="6" w:space="1"/>
        </w:pBdr>
        <w:spacing w:after="120" w:before="320"/>
      </w:pPr>
      <w:r>
        <w:rPr>
          <w:rFonts w:ascii="Arial" w:cs="Arial" w:eastAsia="Arial" w:hAnsi="Arial"/>
          <w:b/>
          <w:bCs/>
          <w:color w:val="1F3864"/>
          <w:sz w:val="26"/>
          <w:szCs w:val="2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760"/>
        <w:gridCol w:w="1200"/>
      </w:tblGrid>
      <w:tr>
        <w:tc>
          <w:tcPr>
            <w:tcW w:type="dxa" w:w="3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37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 and Mitigation</w:t>
            </w:r>
          </w:p>
        </w:tc>
        <w:tc>
          <w:tcPr>
            <w:tcW w:type="dxa" w:w="1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Legacy MicroLogix 1000 communication via DF1 serial — protocol gateway configuration complexity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MGate EIP3170 specifically designed for this scenario. Gateway configuration well documented. Mitigation: allow additional time in Phase 1 for legacy integration.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Integration Engineer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PLC program source files unavailable for some machines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Online tag monitoring via OPC-UA or Modbus register scanning can identify data points without source files. Mitigation: online discovery process documented in project methodology.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Integration Engineer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 2 network link insufficient bandwidth or reliability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MQTT is extremely low bandwidth by design. A 10Mbps link is more than sufficient. Mitigation: assess existing link quality in Phase 1 site survey.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Customer IT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Operator resistance to new systems replacing familiar paper processes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Training program includes hands-on dashboard use. Paper travelers retained in parallel during Phase 3 transition period. Mitigation: operator involvement in dashboard design.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Plant Management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Ignition licensing cost outside customer budget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Grafana provides full dashboard capability at zero cost. Ignition Perspective is the preferred HMI but Grafana is an acceptable alternative. Mitigation: phase Ignition deployment or substitute Grafana.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Project Manager</w:t>
            </w:r>
          </w:p>
        </w:tc>
      </w:tr>
    </w:tbl>
    <w:p>
      <w:pPr>
        <w:spacing w:after="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IIoT Modernization — Project Scope of Work</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Loogootee Mfg., Inc. —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github.com/JeremySField/loogootee-mfg-training-simulation</w:t>
            </w:r>
          </w:p>
        </w:tc>
      </w:tr>
    </w:tbl>
    <w:p>
      <w:pPr>
        <w:spacing w:before="300"/>
        <w:jc w:val="center"/>
      </w:pPr>
      <w:r>
        <w:rPr>
          <w:rFonts w:ascii="Arial" w:cs="Arial" w:eastAsia="Arial" w:hAnsi="Arial"/>
          <w:i/>
          <w:iCs/>
          <w:color w:val="666666"/>
          <w:sz w:val="18"/>
          <w:szCs w:val="18"/>
        </w:rPr>
        <w:t xml:space="preserve">Loogootee Mfg. — Training Simulation  ·  IIoT Modernization Project  ·  Confidential — For Review Purposes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2026-04-15T04:45:52.407Z</dcterms:created>
  <dcterms:modified xsi:type="dcterms:W3CDTF">2026-04-15T04:45:52.408Z</dcterms:modified>
</cp:coreProperties>
</file>

<file path=docProps/custom.xml><?xml version="1.0" encoding="utf-8"?>
<Properties xmlns="http://schemas.openxmlformats.org/officeDocument/2006/custom-properties" xmlns:vt="http://schemas.openxmlformats.org/officeDocument/2006/docPropsVTypes"/>
</file>