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413C" w14:paraId="7A013C9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280" w:type="dxa"/>
              <w:left w:w="280" w:type="dxa"/>
              <w:bottom w:w="280" w:type="dxa"/>
              <w:right w:w="280" w:type="dxa"/>
            </w:tcMar>
          </w:tcPr>
          <w:p w14:paraId="7A013C9C" w14:textId="77777777" w:rsidR="00A2413C" w:rsidRDefault="006452F9">
            <w:pPr>
              <w:jc w:val="center"/>
            </w:pPr>
            <w:r>
              <w:rPr>
                <w:b/>
                <w:bCs/>
                <w:color w:val="D5E8F0"/>
                <w:sz w:val="24"/>
                <w:szCs w:val="24"/>
              </w:rPr>
              <w:t>LOOGOOTEE MFG. — TRAINING SIMULATION</w:t>
            </w:r>
          </w:p>
          <w:p w14:paraId="7A013C9D" w14:textId="77777777" w:rsidR="00A2413C" w:rsidRDefault="006452F9">
            <w:pPr>
              <w:spacing w:before="80"/>
              <w:jc w:val="center"/>
            </w:pPr>
            <w:r>
              <w:rPr>
                <w:b/>
                <w:bCs/>
                <w:color w:val="FFFFFF"/>
                <w:sz w:val="48"/>
                <w:szCs w:val="48"/>
              </w:rPr>
              <w:t>PREFACE</w:t>
            </w:r>
          </w:p>
          <w:p w14:paraId="7A013C9E" w14:textId="77777777" w:rsidR="00A2413C" w:rsidRDefault="006452F9">
            <w:pPr>
              <w:spacing w:before="140"/>
              <w:jc w:val="center"/>
            </w:pPr>
            <w:r>
              <w:rPr>
                <w:i/>
                <w:iCs/>
                <w:color w:val="D5E8F0"/>
              </w:rPr>
              <w:t>Jeremy Field   ·   Milwaukee, Wisconsin  ·  March 2026</w:t>
            </w:r>
          </w:p>
        </w:tc>
      </w:tr>
    </w:tbl>
    <w:p w14:paraId="7A013CA0" w14:textId="77777777" w:rsidR="00A2413C" w:rsidRDefault="00A2413C">
      <w:pPr>
        <w:spacing w:before="80"/>
      </w:pPr>
    </w:p>
    <w:p w14:paraId="7A013CA1" w14:textId="77777777" w:rsidR="00A2413C" w:rsidRDefault="006452F9">
      <w:pPr>
        <w:spacing w:before="100" w:after="100"/>
      </w:pPr>
      <w:r>
        <w:t>This is an introduction to a concept, a project, and a way of working. The Loogootee Mfg. Training Simulation is a deliberate exercise in multi-platform industrial automation and IIoT integration — designed, built, and executed by a single practitioner to develop and demonstrate the capability required to work at the intersection of legacy manufacturing controls and modern industrial data architecture.</w:t>
      </w:r>
    </w:p>
    <w:p w14:paraId="7A013CA2" w14:textId="77777777" w:rsidR="00A2413C" w:rsidRDefault="006452F9">
      <w:pPr>
        <w:spacing w:before="100" w:after="100"/>
      </w:pPr>
      <w:r>
        <w:t>What follows explains what is being built, the reasoning behind how it was built, and what it is intended to produce. The technical scope is substantial. The approach is unconventional. The intent is straightforward: to find out what is possible when the work is done deliberately.</w:t>
      </w:r>
    </w:p>
    <w:p w14:paraId="7A013CA3" w14:textId="77777777" w:rsidR="00A2413C" w:rsidRDefault="006452F9">
      <w:pPr>
        <w:pBdr>
          <w:bottom w:val="single" w:sz="6" w:space="1" w:color="1F3864"/>
        </w:pBdr>
        <w:spacing w:before="360" w:after="140"/>
      </w:pPr>
      <w:r>
        <w:rPr>
          <w:b/>
          <w:bCs/>
          <w:color w:val="1F3864"/>
          <w:sz w:val="28"/>
          <w:szCs w:val="28"/>
        </w:rPr>
        <w:t>The Exercise</w:t>
      </w:r>
    </w:p>
    <w:p w14:paraId="7A013CA4" w14:textId="77777777" w:rsidR="00A2413C" w:rsidRDefault="006452F9">
      <w:pPr>
        <w:spacing w:before="100" w:after="100"/>
      </w:pPr>
      <w:r>
        <w:t>The Manufacturing Integration Engineering Technology AAS program at Waukesha County Technical College provided a formal structure. But coursework alone doesn’t produce the kind of multi-platform fluency this work requires. The production floors that need modernization don’t run one PLC brand. They run whatever was available and affordable when each machine was purchased — Allen-Bradley next to Siemens, next to a fifteen-year-old controller from a vendor that no longer exists. The automation tech who can onl</w:t>
      </w:r>
      <w:r>
        <w:t>y work in one ecosystem isn’t equipped for the actual job.</w:t>
      </w:r>
    </w:p>
    <w:p w14:paraId="7A013CA5" w14:textId="77777777" w:rsidR="00A2413C" w:rsidRDefault="006452F9">
      <w:pPr>
        <w:spacing w:before="100" w:after="100"/>
      </w:pPr>
      <w:r>
        <w:t>The solution was to build the multi-vendor environment rather than wait for it. A 42U rack. Eleven controllers. Five vendors. Fourteen communication protocols. Six programming software platforms. Five IEC 61131-3 programming languages. A complete IIoT data stack. All of it commissioned, programmed, and integrated as a working system — not a collection of individual training exercises but a unified simulation of a two-site manufacturing operation publishing real-time production data to a Unified Namespace.</w:t>
      </w:r>
    </w:p>
    <w:p w14:paraId="7A013CA6" w14:textId="77777777" w:rsidR="00A2413C" w:rsidRDefault="006452F9">
      <w:pPr>
        <w:spacing w:before="100" w:after="100"/>
      </w:pPr>
      <w:r>
        <w:t>The rack is the exercise. Everything else — the certifications, the coursework, the LinkedIn presence, the GitHub repositories, the project documentation — is evidence that the exercise is being executed with professional intent.</w:t>
      </w:r>
    </w:p>
    <w:p w14:paraId="7A013CA7" w14:textId="77777777" w:rsidR="00A2413C" w:rsidRDefault="006452F9">
      <w:pPr>
        <w:pBdr>
          <w:bottom w:val="single" w:sz="6" w:space="1" w:color="1F3864"/>
        </w:pBdr>
        <w:spacing w:before="360" w:after="140"/>
      </w:pPr>
      <w:r>
        <w:rPr>
          <w:b/>
          <w:bCs/>
          <w:color w:val="1F3864"/>
          <w:sz w:val="28"/>
          <w:szCs w:val="28"/>
        </w:rPr>
        <w:t>Accessibility and the Non-Traditional Path</w:t>
      </w:r>
    </w:p>
    <w:p w14:paraId="7A013CA8" w14:textId="77777777" w:rsidR="00A2413C" w:rsidRDefault="006452F9">
      <w:pPr>
        <w:spacing w:before="100" w:after="100"/>
      </w:pPr>
      <w:r>
        <w:t>A working adult taking one or two classes per semester while employed full time and managing family obligations will realistically spend three to five years completing a two-year AAS program. That is the math. It is not a complaint — it is the condition under which most people in the trades pursue advancement. The conventional assumption that professional development happens in dedicated blocks of uninterrupted time does not reflect how most people in this field actually live.</w:t>
      </w:r>
    </w:p>
    <w:p w14:paraId="7A013CA9" w14:textId="77777777" w:rsidR="00A2413C" w:rsidRDefault="006452F9">
      <w:pPr>
        <w:spacing w:before="100" w:after="100"/>
      </w:pPr>
      <w:r>
        <w:t>The conventional path to multi-platform controls and IIoT proficiency compounds the time problem with a cost problem. A two-day Rockwell Automation training workshop runs $2,000 to $2,600 before travel and covers partial deep dive exposure that is usually concentrated on one concept, not total platform mastery. A single-vendor PLC training system from an educational equipment supplier starts at $8,000 and covers one platform. University programs with meaningful lab access require access during traditional b</w:t>
      </w:r>
      <w:r>
        <w:t>usiness hours — the very window most people in the trades are working. The legitimate pathways to hands-on multi-platform training have historically assumed either an employer willing to fund them or a student with no competing financial obligations. Most people in this field have neither.</w:t>
      </w:r>
    </w:p>
    <w:p w14:paraId="7A013CAA" w14:textId="77777777" w:rsidR="00A2413C" w:rsidRDefault="006452F9">
      <w:pPr>
        <w:spacing w:before="100" w:after="100"/>
      </w:pPr>
      <w:r>
        <w:t>This exercise was built on a different set of assumptions. The hardware — eleven controllers from five vendors, two Moxa gateways, four Phoenix Contact power supplies, a managed PoE switch, and a complete IIoT infrastructure stack — was sourced primarily from eBay, electrical scrap and decommissioned or damaged equipment, and used industrial equipment markets. Total hardware investment under $3,500. The software stack is almost entirely free: Mosquitto, Node-RED, InfluxDB, Grafana, CoDeSys, TwinCAT, CCW, an</w:t>
      </w:r>
      <w:r>
        <w:t>d e!COCKPIT carry no licensing cost. TIA Portal Basic is $140 per year. RSLogix 500 and Studio 5000 were obtained through conventional retail purchase channel. In fact, the Allen-Bradley software products account for nearly 35% of the total project budget — because when it comes to Allen-Bradley, you might find better, but you will never find more expensive.</w:t>
      </w:r>
    </w:p>
    <w:p w14:paraId="7A013CAB" w14:textId="77777777" w:rsidR="00A2413C" w:rsidRDefault="006452F9">
      <w:pPr>
        <w:spacing w:before="100" w:after="100"/>
      </w:pPr>
      <w:r>
        <w:t>The formal education component — the WCTC Manufacturing Integration Engineering Technology program — provides what hands-on practice alone cannot: theoretical foundation, structured curriculum, and academic credential. The classroom teaches the principles. The rack teaches the proficiency. Neither is sufficient without the other, and the combination does not require choosing between them. The program runs alongside the build. The coursework informs the programs being written. The hands-on work makes the cou</w:t>
      </w:r>
      <w:r>
        <w:t>rsework immediately applicable rather than abstract.</w:t>
      </w:r>
    </w:p>
    <w:p w14:paraId="7A013CAC" w14:textId="77777777" w:rsidR="00A2413C" w:rsidRDefault="006452F9">
      <w:pPr>
        <w:spacing w:before="100" w:after="100"/>
      </w:pPr>
      <w:r>
        <w:t xml:space="preserve">The path described in this document is not faster than the traditional path in hours invested. It is more concentrated. Twelve to eighteen months of deliberate focused practice — building, commissioning, programming, integrating, documenting — produces multi-platform </w:t>
      </w:r>
      <w:r>
        <w:lastRenderedPageBreak/>
        <w:t>capability that the incremental workplace exposure path accumulates over a decade, one employer’s preferred platform at a time. The difference is intentionality. The work is chosen for breadth and depth rather than assigned by whatever the current employer needs on a given day.</w:t>
      </w:r>
    </w:p>
    <w:p w14:paraId="7A013CAD" w14:textId="77777777" w:rsidR="00A2413C" w:rsidRDefault="006452F9">
      <w:pPr>
        <w:pBdr>
          <w:bottom w:val="single" w:sz="6" w:space="1" w:color="1F3864"/>
        </w:pBdr>
        <w:spacing w:before="360" w:after="140"/>
      </w:pPr>
      <w:r>
        <w:rPr>
          <w:b/>
          <w:bCs/>
          <w:color w:val="1F3864"/>
          <w:sz w:val="28"/>
          <w:szCs w:val="28"/>
        </w:rPr>
        <w:t>The Technical Scope</w:t>
      </w:r>
    </w:p>
    <w:p w14:paraId="7A013CAE" w14:textId="77777777" w:rsidR="00A2413C" w:rsidRDefault="006452F9">
      <w:pPr>
        <w:spacing w:before="100" w:after="100"/>
      </w:pPr>
      <w:r>
        <w:t>The rack is organized as a two-site manufacturing simulation. Site 1 is a discrete production line. Site 2 is a packaging and warehousing operation. Both sites publish ISA-95 named Sparkplug B data to a single Mosquitto broker running on a dedicated Raspberry Pi 4B — the Unified Namespace. All data flows through Node-RED for protocol bridging and transformation. InfluxDB stores the time series historian. Grafana provides visualization. Ignition provides SCADA and HMI capability.</w:t>
      </w:r>
    </w:p>
    <w:p w14:paraId="7A013CAF" w14:textId="77777777" w:rsidR="00A2413C" w:rsidRDefault="006452F9">
      <w:pPr>
        <w:spacing w:before="100" w:after="100"/>
      </w:pPr>
      <w:r>
        <w:t>The platform and protocol coverage is as follows:</w:t>
      </w:r>
    </w:p>
    <w:p w14:paraId="7A013CB0" w14:textId="77777777" w:rsidR="00A2413C" w:rsidRDefault="00A2413C">
      <w:pPr>
        <w:spacing w:before="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2413C" w14:paraId="7A013CB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A013CB1" w14:textId="77777777" w:rsidR="00A2413C" w:rsidRDefault="006452F9">
            <w:r>
              <w:rPr>
                <w:b/>
                <w:bCs/>
                <w:color w:val="FFFFFF"/>
              </w:rPr>
              <w:t>Controllers</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A013CB2" w14:textId="77777777" w:rsidR="00A2413C" w:rsidRDefault="006452F9">
            <w:r>
              <w:rPr>
                <w:b/>
                <w:bCs/>
                <w:color w:val="FFFFFF"/>
              </w:rPr>
              <w:t>Protocols</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A013CB3" w14:textId="77777777" w:rsidR="00A2413C" w:rsidRDefault="006452F9">
            <w:r>
              <w:rPr>
                <w:b/>
                <w:bCs/>
                <w:color w:val="FFFFFF"/>
              </w:rPr>
              <w:t>Software Platforms</w:t>
            </w:r>
          </w:p>
        </w:tc>
      </w:tr>
      <w:tr w:rsidR="00A2413C" w14:paraId="7A013C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A013CB5" w14:textId="77777777" w:rsidR="00A2413C" w:rsidRDefault="006452F9">
            <w:r>
              <w:t>MicroLogix 1000 / 1400 Micro850 CompactLogix L24ER GuardLogix + Safety I/O S7-1200 ×2 ET200SP PROFIBUS + PROFINET Beckhoff CX5120 + EK1100 groov EPIC-PR1 Wago PFC200 750-8206 Raspberry Pi 4B</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A013CB6" w14:textId="77777777" w:rsidR="00A2413C" w:rsidRDefault="006452F9">
            <w:r>
              <w:t>EtherNet/IP PROFINET Modbus TCP OPC-UA EtherCAT PROFIBUS DP Modbus RTU DF1 DH-485 CIP Safety / PROFIsafe S7 PUT/GET MQTT 3.1.1 Sparkplug B</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A013CB7" w14:textId="77777777" w:rsidR="00A2413C" w:rsidRDefault="006452F9">
            <w:r>
              <w:t>RSLogix 500 Connected Components Workbench Studio 5000 Logix Designer TIA Portal V19 TwinCAT 3 XAE CoDeSys Dev System V3 e!COCKPIT (Wago)</w:t>
            </w:r>
          </w:p>
        </w:tc>
      </w:tr>
    </w:tbl>
    <w:p w14:paraId="7A013CB9" w14:textId="77777777" w:rsidR="00A2413C" w:rsidRDefault="00A2413C">
      <w:pPr>
        <w:spacing w:before="80"/>
      </w:pPr>
    </w:p>
    <w:p w14:paraId="7A013CBA" w14:textId="77777777" w:rsidR="00A2413C" w:rsidRDefault="006452F9">
      <w:pPr>
        <w:spacing w:before="100" w:after="100"/>
      </w:pPr>
      <w:r>
        <w:t>Every program is written with ISA-95 Snake_Case tag naming from the first variable. The naming convention — Area_Line_Cell_Device_Attribute — maps directly to the Sparkplug B MQTT topic structure, eliminating any translation layer between the PLC data table and the Unified Namespace. This is not a best practice applied after the fact. It is the starting condition of every program on every platform.</w:t>
      </w:r>
    </w:p>
    <w:p w14:paraId="7A013CBB" w14:textId="77777777" w:rsidR="00A2413C" w:rsidRDefault="006452F9">
      <w:pPr>
        <w:pBdr>
          <w:bottom w:val="single" w:sz="6" w:space="1" w:color="1F3864"/>
        </w:pBdr>
        <w:spacing w:before="360" w:after="140"/>
      </w:pPr>
      <w:r>
        <w:rPr>
          <w:b/>
          <w:bCs/>
          <w:color w:val="1F3864"/>
          <w:sz w:val="28"/>
          <w:szCs w:val="28"/>
        </w:rPr>
        <w:t>The Programming Philosophy</w:t>
      </w:r>
    </w:p>
    <w:p w14:paraId="7A013CBC" w14:textId="77777777" w:rsidR="00A2413C" w:rsidRDefault="006452F9">
      <w:pPr>
        <w:spacing w:before="100" w:after="100"/>
      </w:pPr>
      <w:r>
        <w:t>Bit-based sequential ladder logic — the dominant programming pattern in North American manufacturing for four decades — is readable, deployable, and deeply entrenched. It is also the wrong tool for generating clean data. A program organized around physical I/O states and relay-replacement logic produces machine behavior. It does not produce meaningful production context. A counter that increments on rung 47 because a bit set on rung 23 is not a part count. It is an address with a value.</w:t>
      </w:r>
    </w:p>
    <w:p w14:paraId="7A013CBD" w14:textId="77777777" w:rsidR="00A2413C" w:rsidRDefault="006452F9">
      <w:pPr>
        <w:spacing w:before="100" w:after="100"/>
      </w:pPr>
      <w:r>
        <w:t>Modern IEC 61131-3 programming — state machines in structured text, reusable function blocks, UDT-structured data organized by ISA-95 hierarchy — produces both behavior and context simultaneously. The same program that controls the machine generates production data that is immediately meaningful to the historian, the SCADA system, and the dashboard — without a translation layer, without a data collection routine mapping addresses to names, without anyone having to know that N7:34 means cycle count.</w:t>
      </w:r>
    </w:p>
    <w:p w14:paraId="7A013CBE" w14:textId="77777777" w:rsidR="00A2413C" w:rsidRDefault="006452F9">
      <w:pPr>
        <w:spacing w:before="100" w:after="100"/>
      </w:pPr>
      <w:r>
        <w:t>The sixty-day programming focus at the beginning of this exercise — writing a new program daily across multiple platforms and languages — is not about accumulating programs. It is about building the muscle memory to write programs that are IIoT-ready by default. It is about developing a comfort and proficiency in executing these working principles in a vendor-agnostic way. A program that cannot publish meaningful data to a Unified Namespace without modification is a program that will require significant rew</w:t>
      </w:r>
      <w:r>
        <w:t>ork when modernization comes to that machine. The goal is to never write that program in the first place — while retaining the skills and habits necessary to work with legacy equipment where that rework is exactly the job.</w:t>
      </w:r>
    </w:p>
    <w:p w14:paraId="7A013CBF" w14:textId="77777777" w:rsidR="00A2413C" w:rsidRDefault="006452F9">
      <w:pPr>
        <w:pBdr>
          <w:bottom w:val="single" w:sz="6" w:space="1" w:color="1F3864"/>
        </w:pBdr>
        <w:spacing w:before="360" w:after="140"/>
      </w:pPr>
      <w:r>
        <w:rPr>
          <w:b/>
          <w:bCs/>
          <w:color w:val="1F3864"/>
          <w:sz w:val="28"/>
          <w:szCs w:val="28"/>
        </w:rPr>
        <w:t>The IIoT Architecture</w:t>
      </w:r>
    </w:p>
    <w:p w14:paraId="7A013CC0" w14:textId="77777777" w:rsidR="00A2413C" w:rsidRDefault="006452F9">
      <w:pPr>
        <w:spacing w:before="100" w:after="100"/>
      </w:pPr>
      <w:r>
        <w:t>The Unified Namespace — a single MQTT broker hosting a hierarchically organized namespace where every device in the enterprise publishes contextualized data — is the architectural foundation of this exercise. The concept, developed and documented by Walker Reynolds and others working in the Industry 4.0 space, provides a vendor-agnostic data transport layer that sits above every PLC protocol without replacing any of them.</w:t>
      </w:r>
    </w:p>
    <w:p w14:paraId="7A013CC1" w14:textId="77777777" w:rsidR="00A2413C" w:rsidRDefault="006452F9">
      <w:pPr>
        <w:spacing w:before="100" w:after="100"/>
      </w:pPr>
      <w:r>
        <w:t>The implementation pattern on this rack is deliberately non-invasive. PLCs run their programs. They have no awareness of MQTT, Node-RED, or the broker. The edge device — the groov EPIC in the line supervisor role — reads PLC data via each platform’s native protocol, applies ISA-95 context, and publishes to the broker in Sparkplug B format. The PLC is a passive data source. The edge device is the active publisher. The broker is the single source of truth.</w:t>
      </w:r>
    </w:p>
    <w:p w14:paraId="7A013CC2" w14:textId="77777777" w:rsidR="00A2413C" w:rsidRDefault="006452F9">
      <w:pPr>
        <w:spacing w:before="100" w:after="100"/>
      </w:pPr>
      <w:r>
        <w:t>The practical consequence of this architecture is that a 1985 MicroLogix 1000 communicating via DF1 serial — connected to the network through a Moxa MGate EIP3170 gateway — publishes data to the same Unified Namespace as a Wago PFC200 with native MQTT capability. The historian sees both. The dashboard shows both. The age of the hardware is irrelevant to the data layer above it. That is the case for non-invasive IIoT integration on existing production equipment, demonstrated physically on one rack.</w:t>
      </w:r>
    </w:p>
    <w:p w14:paraId="7A013CC3" w14:textId="77777777" w:rsidR="00A2413C" w:rsidRDefault="006452F9">
      <w:pPr>
        <w:pBdr>
          <w:bottom w:val="single" w:sz="6" w:space="1" w:color="1F3864"/>
        </w:pBdr>
        <w:spacing w:before="360" w:after="140"/>
      </w:pPr>
      <w:r>
        <w:rPr>
          <w:b/>
          <w:bCs/>
          <w:color w:val="1F3864"/>
          <w:sz w:val="28"/>
          <w:szCs w:val="28"/>
        </w:rPr>
        <w:t>The Expected Outcome</w:t>
      </w:r>
    </w:p>
    <w:p w14:paraId="7A013CC4" w14:textId="77777777" w:rsidR="00A2413C" w:rsidRDefault="006452F9">
      <w:pPr>
        <w:spacing w:before="100" w:after="100"/>
      </w:pPr>
      <w:r>
        <w:t xml:space="preserve">When this exercise is complete — all platforms commissioned, all programs written, all integration paths operational, the full two-site simulation running — the demonstrated capability is specific: work on </w:t>
      </w:r>
      <w:r>
        <w:lastRenderedPageBreak/>
        <w:t>a production floor with legacy equipment from any combination of the major vendors, add a non-invasive IIoT data layer without modifying existing control programs or interrupting production, and deliver live production visibility, OEE tracking, and historian data to plant management within a defined project timeline.</w:t>
      </w:r>
    </w:p>
    <w:p w14:paraId="7A013CC5" w14:textId="77777777" w:rsidR="00A2413C" w:rsidRDefault="006452F9">
      <w:pPr>
        <w:spacing w:before="100" w:after="100"/>
      </w:pPr>
      <w:r>
        <w:t>This is not a theoretical capability. It will have been executed on eleven controllers from five vendors across fourteen communication protocols on a working system. The programs exist. The flows exist. The historian data exists. The dashboard exists. The GitHub repository documents every step. The exercise is the proof.</w:t>
      </w:r>
    </w:p>
    <w:p w14:paraId="7A013CC6" w14:textId="77777777" w:rsidR="00A2413C" w:rsidRDefault="006452F9">
      <w:pPr>
        <w:spacing w:before="100" w:after="100"/>
      </w:pPr>
      <w:r>
        <w:t>Whether that proof is sufficient — for the right employer, the right firm, the right project — is the part that remains to be determined. But the question this document started with — can I actually do this — will have been answered.</w:t>
      </w:r>
    </w:p>
    <w:p w14:paraId="7A013CC7" w14:textId="77777777" w:rsidR="00A2413C" w:rsidRDefault="00A2413C">
      <w:pPr>
        <w:spacing w:before="80"/>
      </w:pPr>
    </w:p>
    <w:p w14:paraId="7A013CC8" w14:textId="77777777" w:rsidR="00A2413C" w:rsidRDefault="006452F9">
      <w:pPr>
        <w:spacing w:before="200" w:after="80"/>
      </w:pPr>
      <w:r>
        <w:rPr>
          <w:b/>
          <w:bCs/>
        </w:rPr>
        <w:t>Jeremy Field  ·  Milwaukee, Wisconsin  ·  March 2026</w:t>
      </w:r>
    </w:p>
    <w:p w14:paraId="7A013CC9" w14:textId="77777777" w:rsidR="00A2413C" w:rsidRDefault="006452F9">
      <w:pPr>
        <w:spacing w:before="300"/>
        <w:jc w:val="center"/>
      </w:pPr>
      <w:r>
        <w:rPr>
          <w:i/>
          <w:iCs/>
          <w:color w:val="666666"/>
          <w:sz w:val="18"/>
          <w:szCs w:val="18"/>
        </w:rPr>
        <w:t>Loogootee Mfg., Inc.  ·  Training Simulation — Not for Distribution</w:t>
      </w:r>
    </w:p>
    <w:sectPr w:rsidR="00A2413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E562D"/>
    <w:multiLevelType w:val="hybridMultilevel"/>
    <w:tmpl w:val="7B2CA906"/>
    <w:lvl w:ilvl="0" w:tplc="D6D68788">
      <w:start w:val="1"/>
      <w:numFmt w:val="bullet"/>
      <w:lvlText w:val="●"/>
      <w:lvlJc w:val="left"/>
      <w:pPr>
        <w:ind w:left="720" w:hanging="360"/>
      </w:pPr>
    </w:lvl>
    <w:lvl w:ilvl="1" w:tplc="EB0E0AEE">
      <w:start w:val="1"/>
      <w:numFmt w:val="bullet"/>
      <w:lvlText w:val="○"/>
      <w:lvlJc w:val="left"/>
      <w:pPr>
        <w:ind w:left="1440" w:hanging="360"/>
      </w:pPr>
    </w:lvl>
    <w:lvl w:ilvl="2" w:tplc="90AEDCCE">
      <w:start w:val="1"/>
      <w:numFmt w:val="bullet"/>
      <w:lvlText w:val="■"/>
      <w:lvlJc w:val="left"/>
      <w:pPr>
        <w:ind w:left="2160" w:hanging="360"/>
      </w:pPr>
    </w:lvl>
    <w:lvl w:ilvl="3" w:tplc="5E9AD07E">
      <w:start w:val="1"/>
      <w:numFmt w:val="bullet"/>
      <w:lvlText w:val="●"/>
      <w:lvlJc w:val="left"/>
      <w:pPr>
        <w:ind w:left="2880" w:hanging="360"/>
      </w:pPr>
    </w:lvl>
    <w:lvl w:ilvl="4" w:tplc="06AC42FE">
      <w:start w:val="1"/>
      <w:numFmt w:val="bullet"/>
      <w:lvlText w:val="○"/>
      <w:lvlJc w:val="left"/>
      <w:pPr>
        <w:ind w:left="3600" w:hanging="360"/>
      </w:pPr>
    </w:lvl>
    <w:lvl w:ilvl="5" w:tplc="76F65AFC">
      <w:start w:val="1"/>
      <w:numFmt w:val="bullet"/>
      <w:lvlText w:val="■"/>
      <w:lvlJc w:val="left"/>
      <w:pPr>
        <w:ind w:left="4320" w:hanging="360"/>
      </w:pPr>
    </w:lvl>
    <w:lvl w:ilvl="6" w:tplc="120E13FC">
      <w:start w:val="1"/>
      <w:numFmt w:val="bullet"/>
      <w:lvlText w:val="●"/>
      <w:lvlJc w:val="left"/>
      <w:pPr>
        <w:ind w:left="5040" w:hanging="360"/>
      </w:pPr>
    </w:lvl>
    <w:lvl w:ilvl="7" w:tplc="F9142E82">
      <w:start w:val="1"/>
      <w:numFmt w:val="bullet"/>
      <w:lvlText w:val="●"/>
      <w:lvlJc w:val="left"/>
      <w:pPr>
        <w:ind w:left="5760" w:hanging="360"/>
      </w:pPr>
    </w:lvl>
    <w:lvl w:ilvl="8" w:tplc="93A83416">
      <w:start w:val="1"/>
      <w:numFmt w:val="bullet"/>
      <w:lvlText w:val="●"/>
      <w:lvlJc w:val="left"/>
      <w:pPr>
        <w:ind w:left="6480" w:hanging="360"/>
      </w:pPr>
    </w:lvl>
  </w:abstractNum>
  <w:num w:numId="1" w16cid:durableId="8957025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13C"/>
    <w:rsid w:val="006452F9"/>
    <w:rsid w:val="00795820"/>
    <w:rsid w:val="00A2413C"/>
    <w:rsid w:val="00AB2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013C9C"/>
  <w15:docId w15:val="{F4C14454-DBFC-4DF2-BE76-241A32536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1667</Words>
  <Characters>9565</Characters>
  <Application>Microsoft Office Word</Application>
  <DocSecurity>0</DocSecurity>
  <Lines>145</Lines>
  <Paragraphs>39</Paragraphs>
  <ScaleCrop>false</ScaleCrop>
  <Company/>
  <LinksUpToDate>false</LinksUpToDate>
  <CharactersWithSpaces>11244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Jeremy Field</cp:lastModifiedBy>
  <cp:revision>2</cp:revision>
  <dcterms:created xsi:type="dcterms:W3CDTF">2026-04-15T04:50:00Z</dcterms:created>
  <dcterms:modified xsi:type="dcterms:W3CDTF">2026-04-15T16:11:00Z</dcterms:modified>
</cp:coreProperties>
</file>