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40"/>
              <w:left w:type="dxa" w:w="240"/>
              <w:bottom w:type="dxa" w:w="240"/>
              <w:right w:type="dxa" w:w="240"/>
            </w:tcMar>
          </w:tcPr>
          <w:p>
            <w:pPr>
              <w:jc w:val="center"/>
            </w:pPr>
            <w:r>
              <w:rPr>
                <w:rFonts w:ascii="Arial" w:cs="Arial" w:eastAsia="Arial" w:hAnsi="Arial"/>
                <w:b/>
                <w:bCs/>
                <w:color w:val="D5E8F0"/>
                <w:sz w:val="22"/>
                <w:szCs w:val="22"/>
              </w:rPr>
              <w:t xml:space="preserve">LOOGOOTEE MFG. — TRAINING SIMULATION</w:t>
            </w:r>
          </w:p>
          <w:p>
            <w:pPr>
              <w:spacing w:before="60"/>
              <w:jc w:val="center"/>
            </w:pPr>
            <w:r>
              <w:rPr>
                <w:rFonts w:ascii="Arial" w:cs="Arial" w:eastAsia="Arial" w:hAnsi="Arial"/>
                <w:b/>
                <w:bCs/>
                <w:color w:val="FFFFFF"/>
                <w:sz w:val="36"/>
                <w:szCs w:val="36"/>
              </w:rPr>
              <w:t xml:space="preserve">IO-Link Pump Module</w:t>
            </w:r>
          </w:p>
          <w:p>
            <w:pPr>
              <w:jc w:val="center"/>
            </w:pPr>
            <w:r>
              <w:rPr>
                <w:rFonts w:ascii="Arial" w:cs="Arial" w:eastAsia="Arial" w:hAnsi="Arial"/>
                <w:b/>
                <w:bCs/>
                <w:color w:val="FFFFFF"/>
                <w:sz w:val="28"/>
                <w:szCs w:val="28"/>
              </w:rPr>
              <w:t xml:space="preserve">Implementation Concept</w:t>
            </w:r>
          </w:p>
          <w:p>
            <w:pPr>
              <w:spacing w:before="140"/>
              <w:jc w:val="center"/>
            </w:pPr>
            <w:r>
              <w:rPr>
                <w:rFonts w:ascii="Arial" w:cs="Arial" w:eastAsia="Arial" w:hAnsi="Arial"/>
                <w:i/>
                <w:iCs/>
                <w:color w:val="D5E8F0"/>
                <w:sz w:val="20"/>
                <w:szCs w:val="20"/>
              </w:rPr>
              <w:t xml:space="preserve">Prepared by: Jeremy Field  ·  Senior Automation Technician</w:t>
            </w:r>
          </w:p>
          <w:p>
            <w:pPr>
              <w:jc w:val="center"/>
            </w:pPr>
            <w:r>
              <w:rPr>
                <w:rFonts w:ascii="Arial" w:cs="Arial" w:eastAsia="Arial" w:hAnsi="Arial"/>
                <w:i/>
                <w:iCs/>
                <w:color w:val="D5E8F0"/>
                <w:sz w:val="18"/>
                <w:szCs w:val="18"/>
              </w:rPr>
              <w:t xml:space="preserve">Rev 0.2  ·  April 2026  ·  Training Simulation — Not for Distribution</w:t>
            </w:r>
          </w:p>
        </w:tc>
      </w:tr>
    </w:tbl>
    <w:p>
      <w:pPr>
        <w:spacing w:after="0" w:before="100"/>
      </w:pPr>
    </w:p>
    <w:p>
      <w:pPr>
        <w:pBdr>
          <w:bottom w:val="single" w:color="1F3864" w:sz="6" w:space="1"/>
        </w:pBdr>
        <w:spacing w:after="120" w:before="320"/>
      </w:pPr>
      <w:r>
        <w:rPr>
          <w:rFonts w:ascii="Arial" w:cs="Arial" w:eastAsia="Arial" w:hAnsi="Arial"/>
          <w:b/>
          <w:bCs/>
          <w:color w:val="1F3864"/>
          <w:sz w:val="24"/>
          <w:szCs w:val="24"/>
        </w:rPr>
        <w:t xml:space="preserve">1.  Purpose &amp; Scope</w:t>
      </w:r>
    </w:p>
    <w:p>
      <w:pPr>
        <w:spacing w:after="80" w:before="80"/>
      </w:pPr>
      <w:r>
        <w:rPr>
          <w:rFonts w:ascii="Arial" w:cs="Arial" w:eastAsia="Arial" w:hAnsi="Arial"/>
          <w:sz w:val="20"/>
          <w:szCs w:val="20"/>
        </w:rPr>
        <w:t xml:space="preserve">This document captures the concept design for the Loogootee Manufacturing IO-Link Pump Module — a self-contained physical add-on unit that demonstrates IO-Link smart sensor integration, multi-pattern IIoT data collection, and predictive maintenance capability using real process physics rather than simulated values.</w:t>
      </w:r>
    </w:p>
    <w:p>
      <w:pPr>
        <w:spacing w:after="80" w:before="80"/>
      </w:pPr>
      <w:r>
        <w:rPr>
          <w:rFonts w:ascii="Arial" w:cs="Arial" w:eastAsia="Arial" w:hAnsi="Arial"/>
          <w:sz w:val="20"/>
          <w:szCs w:val="20"/>
        </w:rPr>
        <w:t xml:space="preserve">The pump module is the physical foundation for both the Phase 4 IO-Link demonstration and the Phase 5 MaintainX predictive maintenance demonstration. It is documented here as a standalone concept to preserve the design intent and integration architecture decisions made during the rack planning phase.</w:t>
      </w:r>
    </w:p>
    <w:p>
      <w:pPr>
        <w:spacing w:after="80" w:before="80"/>
      </w:pPr>
      <w:r>
        <w:rPr>
          <w:rFonts w:ascii="Arial" w:cs="Arial" w:eastAsia="Arial" w:hAnsi="Arial"/>
          <w:sz w:val="20"/>
          <w:szCs w:val="20"/>
        </w:rPr>
        <w:t xml:space="preserve">For MaintainX API integration details, Node-RED flow architecture, and work order automation logic refer to the MaintainX Implementation Concept document in folder 09_MaintainX_Implementation.</w:t>
      </w:r>
    </w:p>
    <w:p>
      <w:pPr>
        <w:pBdr>
          <w:bottom w:val="single" w:color="1F3864" w:sz="6" w:space="1"/>
        </w:pBdr>
        <w:spacing w:after="120" w:before="320"/>
      </w:pPr>
      <w:r>
        <w:rPr>
          <w:rFonts w:ascii="Arial" w:cs="Arial" w:eastAsia="Arial" w:hAnsi="Arial"/>
          <w:b/>
          <w:bCs/>
          <w:color w:val="1F3864"/>
          <w:sz w:val="24"/>
          <w:szCs w:val="24"/>
        </w:rPr>
        <w:t xml:space="preserve">2.  Concept Overview</w:t>
      </w:r>
    </w:p>
    <w:p>
      <w:pPr>
        <w:spacing w:after="80" w:before="80"/>
      </w:pPr>
      <w:r>
        <w:rPr>
          <w:rFonts w:ascii="Arial" w:cs="Arial" w:eastAsia="Arial" w:hAnsi="Arial"/>
          <w:sz w:val="20"/>
          <w:szCs w:val="20"/>
        </w:rPr>
        <w:t xml:space="preserve">The pump module is a compact self-contained enclosure containing a small pump, fluid reservoir, process piping, and four IO-Link smart sensors. A PowerFlex 4 VFD from the rack controls pump motor speed. The module connects to the rack via IO-Link master, 24VDC power, and PowerFlex control wiring.</w:t>
      </w:r>
    </w:p>
    <w:p>
      <w:pPr>
        <w:spacing w:after="80" w:before="80"/>
      </w:pPr>
      <w:r>
        <w:rPr>
          <w:rFonts w:ascii="Arial" w:cs="Arial" w:eastAsia="Arial" w:hAnsi="Arial"/>
          <w:sz w:val="20"/>
          <w:szCs w:val="20"/>
        </w:rPr>
        <w:t xml:space="preserve">The module creates real process physics — actual fluid movement, actual pressure, actual temperature, actual vibration. Every other simulation on the rack uses software-generated values. This module produces real sensor readings driven by actual physical conditions. That authenticity is the core demonstration value.</w:t>
      </w:r>
    </w:p>
    <w:p>
      <w:pPr>
        <w:spacing w:after="80" w:before="80"/>
      </w:pPr>
      <w:r>
        <w:rPr>
          <w:rFonts w:ascii="Arial" w:cs="Arial" w:eastAsia="Arial" w:hAnsi="Arial"/>
          <w:sz w:val="20"/>
          <w:szCs w:val="20"/>
        </w:rPr>
        <w:t xml:space="preserve">The same module simultaneously demonstrates three distinct integration patterns — edge device non-invasive path, direct PLC EtherNet/IP integration, and MQTT transport to historian — making it the most capability-dense demonstration asset on the rack.</w:t>
      </w:r>
    </w:p>
    <w:p>
      <w:pPr>
        <w:pBdr>
          <w:bottom w:val="single" w:color="1F3864" w:sz="6" w:space="1"/>
        </w:pBdr>
        <w:spacing w:after="120" w:before="320"/>
      </w:pPr>
      <w:r>
        <w:rPr>
          <w:rFonts w:ascii="Arial" w:cs="Arial" w:eastAsia="Arial" w:hAnsi="Arial"/>
          <w:b/>
          <w:bCs/>
          <w:color w:val="1F3864"/>
          <w:sz w:val="24"/>
          <w:szCs w:val="24"/>
        </w:rPr>
        <w:t xml:space="preserve">3.  Hardware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3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43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Pump</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24VDC centrifugal or gear pump</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Small industrial or quality aquarium pump. 24VDC for rack power compatibility.</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Motor</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Matched to pump — 24VDC</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PowerFlex 4 drive control for variable speed demonstration.</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Reservoir</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Small clear acrylic tank</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Visible fluid level on camera. Closed loop recirculation.</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Piping</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Clear tubing — push fit fittings</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Visible fluid flow on camera. Short runs within enclosure.</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Enclosure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Small panel or open frame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Compact — wall or rack side mountable. Clean presentation.</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IO-Link Master</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IFM AL1590 — 8-port — OPC-UA, PROFINET, EtherNet/IP multiprotocol — integrated Node-RED</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 ports — 4 used for pump module sensors, 4 reserved for expansion. OPC-UA, PROFINET, and EtherNet/IP simultaneously. Integrated Node-RED publishes to Mosquitto broker. Connects natively to EPIC, CompactLogix, and Siemens S7-1200.</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PowerFlex 4</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Existing rack unit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Variable speed control of pump motor. Speed reference from CompactLogix or EPIC.</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Power Supply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24VDC from rack PSU bank</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Pump, sensors, and IO-Link master all 24VDC compatible.</w:t>
            </w:r>
          </w:p>
        </w:tc>
      </w:tr>
    </w:tbl>
    <w:p>
      <w:pPr>
        <w:pBdr>
          <w:bottom w:val="single" w:color="1F3864" w:sz="6" w:space="1"/>
        </w:pBdr>
        <w:spacing w:after="120" w:before="320"/>
      </w:pPr>
      <w:r>
        <w:rPr>
          <w:rFonts w:ascii="Arial" w:cs="Arial" w:eastAsia="Arial" w:hAnsi="Arial"/>
          <w:b/>
          <w:bCs/>
          <w:color w:val="1F3864"/>
          <w:sz w:val="24"/>
          <w:szCs w:val="24"/>
        </w:rPr>
        <w:t xml:space="preserve">4.  IO-Link Sensor Assignments</w:t>
      </w:r>
    </w:p>
    <w:p>
      <w:pPr>
        <w:spacing w:after="80" w:before="80"/>
      </w:pPr>
      <w:r>
        <w:rPr>
          <w:rFonts w:ascii="Arial" w:cs="Arial" w:eastAsia="Arial" w:hAnsi="Arial"/>
          <w:sz w:val="20"/>
          <w:szCs w:val="20"/>
        </w:rPr>
        <w:t xml:space="preserve">Four IO-Link smart sensors cover the primary process and predictive maintenance data points. Each sensor connects to a dedicated port on the IFM IO-Link master.</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3200"/>
        <w:gridCol w:w="4000"/>
      </w:tblGrid>
      <w:tr>
        <w:tc>
          <w:tcPr>
            <w:tcW w:type="dxa" w:w="5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Port</w:t>
            </w:r>
          </w:p>
        </w:tc>
        <w:tc>
          <w:tcPr>
            <w:tcW w:type="dxa" w:w="16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Sensor Type</w:t>
            </w:r>
          </w:p>
        </w:tc>
        <w:tc>
          <w:tcPr>
            <w:tcW w:type="dxa" w:w="32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UNS Metric</w:t>
            </w:r>
          </w:p>
        </w:tc>
        <w:tc>
          <w:tcPr>
            <w:tcW w:type="dxa" w:w="4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Demonstration Value</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Temperature</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Site1_PumpStation_Fluid_Temp_F</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Process monitoring. High temp threshold triggers cooling alarm. Baseline normal range established during commissioning.</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Pressure</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Site1_PumpStation_Discharge_Pressure_PSI</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Process health indicator. Low pressure indicates cavitation or pump wear. High pressure indicates downstream blockage.</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Flow</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Site1_PumpStation_Flow_Rate_GPM</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Confirms fluid movement. Flow drop with normal pressure indicates pump degradation. Flow drop with pressure rise indicates restriction.</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Vibration</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Site1_PumpStation_Vibration_MM_S</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Primary predictive maintenance sensor. Baseline vibration signature at normal speed. Increasing vibration indicates bearing wear or imbalance. MaintainX work order trigger.</w:t>
            </w:r>
          </w:p>
        </w:tc>
      </w:tr>
    </w:tbl>
    <w:p>
      <w:pPr>
        <w:spacing w:after="0" w:before="100"/>
      </w:pPr>
    </w:p>
    <w:p>
      <w:pPr>
        <w:spacing w:after="80" w:before="80"/>
      </w:pPr>
      <w:r>
        <w:rPr>
          <w:rFonts w:ascii="Arial" w:cs="Arial" w:eastAsia="Arial" w:hAnsi="Arial"/>
          <w:sz w:val="20"/>
          <w:szCs w:val="20"/>
        </w:rPr>
        <w:t xml:space="preserve">All four sensor metrics publish to the UNS under the Site1_PumpStation area designation. ISA-95 naming convention applied at the integration layer per the Loogootee ISA-95 Tag Naming Standard Rev 0.1.</w:t>
      </w:r>
    </w:p>
    <w:p>
      <w:pPr>
        <w:pBdr>
          <w:bottom w:val="single" w:color="1F3864" w:sz="6" w:space="1"/>
        </w:pBdr>
        <w:spacing w:after="120" w:before="320"/>
      </w:pPr>
      <w:r>
        <w:rPr>
          <w:rFonts w:ascii="Arial" w:cs="Arial" w:eastAsia="Arial" w:hAnsi="Arial"/>
          <w:b/>
          <w:bCs/>
          <w:color w:val="1F3864"/>
          <w:sz w:val="24"/>
          <w:szCs w:val="24"/>
        </w:rPr>
        <w:t xml:space="preserve">5.  Three Integration Patterns</w:t>
      </w:r>
    </w:p>
    <w:p>
      <w:pPr>
        <w:spacing w:after="80" w:before="80"/>
      </w:pPr>
      <w:r>
        <w:rPr>
          <w:rFonts w:ascii="Arial" w:cs="Arial" w:eastAsia="Arial" w:hAnsi="Arial"/>
          <w:sz w:val="20"/>
          <w:szCs w:val="20"/>
        </w:rPr>
        <w:t xml:space="preserve">The pump module simultaneously demonstrates three distinct IIoT integration patterns using the same physical hardware and the same sensors. This is the primary teaching and demonstration value of the module — showing that the choice of integration pattern is a deliberate architectural decision based on context, not a technical constraint.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F3864"/>
                <w:sz w:val="20"/>
                <w:szCs w:val="20"/>
              </w:rPr>
              <w:t xml:space="preserve">Pattern 1 — Edge Device — Non-Invasive Path</w:t>
            </w:r>
          </w:p>
          <w:p>
            <w:pPr>
              <w:spacing w:before="80"/>
            </w:pPr>
            <w:r>
              <w:rPr>
                <w:rFonts w:ascii="Arial" w:cs="Arial" w:eastAsia="Arial" w:hAnsi="Arial"/>
                <w:sz w:val="20"/>
                <w:szCs w:val="20"/>
              </w:rPr>
              <w:t xml:space="preserve">IFM AL1590 integrated Node-RED reads sensor data from all eight IO-Link ports and publishes to the Mosquitto broker. EPIC Node-RED subscribes from the broker, applies ISA-95 naming, and republishes as Sparkplug B. No PLC program is involved or modified. The pump module is added to the facility data infrastructure without touching any existing control system. This is the non-invasive path — add data visibility above the existing control layer without disrupting production.</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F3864"/>
                <w:sz w:val="20"/>
                <w:szCs w:val="20"/>
              </w:rPr>
              <w:t xml:space="preserve">Pattern 2 — Direct PLC Integration — In-House Engineering Path</w:t>
            </w:r>
          </w:p>
          <w:p>
            <w:pPr>
              <w:spacing w:before="80"/>
            </w:pPr>
            <w:r>
              <w:rPr>
                <w:rFonts w:ascii="Arial" w:cs="Arial" w:eastAsia="Arial" w:hAnsi="Arial"/>
                <w:sz w:val="20"/>
                <w:szCs w:val="20"/>
              </w:rPr>
              <w:t xml:space="preserve">CompactLogix L24ER reads the AL1590 directly via EtherNet/IP using Studio 5000. S7-1200 reads the AL1590 directly via PROFINET. Both PLCs access the same IO-Link sensor data simultaneously through the AL1590 multiprotocol capability. UDTs structure sensor data with ISA-95 named members. This is the direct integration approach where full PLC access and program modification are available and appropriate.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F3864"/>
                <w:sz w:val="20"/>
                <w:szCs w:val="20"/>
              </w:rPr>
              <w:t xml:space="preserve">Pattern 3 — MQTT Transport to Historian</w:t>
            </w:r>
          </w:p>
          <w:p>
            <w:pPr>
              <w:spacing w:before="80"/>
            </w:pPr>
            <w:r>
              <w:rPr>
                <w:rFonts w:ascii="Arial" w:cs="Arial" w:eastAsia="Arial" w:hAnsi="Arial"/>
                <w:sz w:val="20"/>
                <w:szCs w:val="20"/>
              </w:rPr>
              <w:t xml:space="preserve">Both Pattern 1 and Pattern 2 data flows converge at the Mosquitto broker. Telegraf captures all pump station metrics into InfluxDB with Sparkplug B timestamps. Grafana visualizes process trends and vibration baselines from InfluxDB. Ignition detects threshold breaches and publishes alarm events back to the broker. The historian receives the complete operational record regardless of which integration pattern sourced the data.</w:t>
            </w:r>
          </w:p>
        </w:tc>
      </w:tr>
    </w:tbl>
    <w:p>
      <w:pPr>
        <w:spacing w:after="0" w:before="100"/>
      </w:pPr>
    </w:p>
    <w:p>
      <w:pPr>
        <w:spacing w:after="80" w:before="120"/>
      </w:pPr>
      <w:r>
        <w:rPr>
          <w:rFonts w:ascii="Arial" w:cs="Arial" w:eastAsia="Arial" w:hAnsi="Arial"/>
          <w:b/>
          <w:bCs/>
          <w:color w:val="1F3864"/>
          <w:sz w:val="22"/>
          <w:szCs w:val="22"/>
        </w:rPr>
        <w:t xml:space="preserve">Pattern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Consideration</w:t>
            </w:r>
          </w:p>
        </w:tc>
        <w:tc>
          <w:tcPr>
            <w:tcW w:type="dxa" w:w="318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Pattern 1 — Edge Device</w:t>
            </w:r>
          </w:p>
        </w:tc>
        <w:tc>
          <w:tcPr>
            <w:tcW w:type="dxa" w:w="318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Pattern 2 — Direct PLC</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PLC modification required</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 — non-invasive</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Yes — program change required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Production downtime risk</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None</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Requires program download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Control capability</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Monitoring only via EPIC</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Full closed loop control via CompactLogix</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Integration complexity</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Node-RED flow only</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Studio 5000 program + UDT design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Best application</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Existing equipment with no downtime tolerance</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In-house engineering with full program access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Data path to UNS</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EPIC → broker</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CompactLogix → EPIC → broker</w:t>
            </w:r>
          </w:p>
        </w:tc>
      </w:tr>
    </w:tbl>
    <w:p>
      <w:pPr>
        <w:pBdr>
          <w:bottom w:val="single" w:color="1F3864" w:sz="6" w:space="1"/>
        </w:pBdr>
        <w:spacing w:after="120" w:before="320"/>
      </w:pPr>
      <w:r>
        <w:rPr>
          <w:rFonts w:ascii="Arial" w:cs="Arial" w:eastAsia="Arial" w:hAnsi="Arial"/>
          <w:b/>
          <w:bCs/>
          <w:color w:val="1F3864"/>
          <w:sz w:val="24"/>
          <w:szCs w:val="24"/>
        </w:rPr>
        <w:t xml:space="preserve">6.  PowerFlex VFD Integration</w:t>
      </w:r>
    </w:p>
    <w:p>
      <w:pPr>
        <w:spacing w:after="80" w:before="80"/>
      </w:pPr>
      <w:r>
        <w:rPr>
          <w:rFonts w:ascii="Arial" w:cs="Arial" w:eastAsia="Arial" w:hAnsi="Arial"/>
          <w:sz w:val="20"/>
          <w:szCs w:val="20"/>
        </w:rPr>
        <w:t xml:space="preserve">One PowerFlex 4 from the existing rack drive bank controls pump motor speed. Variable speed control creates observable changes in all four sensor readings — the physical relationship between drive output and process conditions is demonstrable in real time.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Speed reference source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CompactLogix analog output or Modbus RTU speed reference from EPIC Node-RED flow</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Normal operating range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TBD during commissioning — establish baseline sensor readings at 40–60Hz output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Demonstration scenario</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Ramp speed up — observe flow increase, pressure increase, vibration signature change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Fault simulation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Run at abnormal speed or restrict discharge — observe pressure and vibration anomalies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MaintainX trigger</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Vibration threshold breach at any speed generates predictive maintenance work order</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UNS metrics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Site1_PumpStation_Drive_Speed_Hz  ·  Site1_PumpStation_Drive_Current_A  ·  Site1_PumpStation_Drive_Faulted</w:t>
            </w:r>
          </w:p>
        </w:tc>
      </w:tr>
    </w:tbl>
    <w:p>
      <w:pPr>
        <w:pBdr>
          <w:bottom w:val="single" w:color="1F3864" w:sz="6" w:space="1"/>
        </w:pBdr>
        <w:spacing w:after="120" w:before="320"/>
      </w:pPr>
      <w:r>
        <w:rPr>
          <w:rFonts w:ascii="Arial" w:cs="Arial" w:eastAsia="Arial" w:hAnsi="Arial"/>
          <w:b/>
          <w:bCs/>
          <w:color w:val="1F3864"/>
          <w:sz w:val="24"/>
          <w:szCs w:val="24"/>
        </w:rPr>
        <w:t xml:space="preserve">7.  Predictive Maintenance Demonstration</w:t>
      </w:r>
    </w:p>
    <w:p>
      <w:pPr>
        <w:spacing w:after="80" w:before="80"/>
      </w:pPr>
      <w:r>
        <w:rPr>
          <w:rFonts w:ascii="Arial" w:cs="Arial" w:eastAsia="Arial" w:hAnsi="Arial"/>
          <w:sz w:val="20"/>
          <w:szCs w:val="20"/>
        </w:rPr>
        <w:t xml:space="preserve">The pump module is the physical foundation for the Phase 5 MaintainX predictive maintenance demonstration. The complete end-to-end workflow from sensor anomaly detection to technician work order notification is demonstrated using real sensor data from real process conditions.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c>
          <w:tcPr>
            <w:tcW w:type="dxa" w:w="5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44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Event</w:t>
            </w:r>
          </w:p>
        </w:tc>
        <w:tc>
          <w:tcPr>
            <w:tcW w:type="dxa" w:w="44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Pump module operating at normal conditions</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four sensors publishing baseline values to UNS via broker</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Vibration baseline established during commissioning</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Ignition records normal vibration range — threshold set at 20% above baseline</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Anomaly condition introduced — bearing wear simulated or speed abnormality</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Vibration sensor reading rises above threshold</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Ignition detects threshold breach — publishes alarm event to broker</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Site1_PumpStation_Vibration_Alarm = TRUE published to UNS</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Node-RED subscribes to alarm topic — calls MaintainX REST API</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Work order automatically generated in MaintainX</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MaintainX work order: Pump Station 01 — Vibration anomaly — inspect bearings</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Maintenance technician receives mobile notification</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7</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events captured in InfluxDB with timestamps</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Complete audit trail — sensor reading, threshold breach, work order creation, timestamp chain</w:t>
            </w:r>
          </w:p>
        </w:tc>
      </w:tr>
    </w:tbl>
    <w:p>
      <w:pPr>
        <w:spacing w:after="0" w:before="100"/>
      </w:pPr>
    </w:p>
    <w:p>
      <w:pPr>
        <w:spacing w:after="80" w:before="80"/>
      </w:pPr>
      <w:r>
        <w:rPr>
          <w:rFonts w:ascii="Arial" w:cs="Arial" w:eastAsia="Arial" w:hAnsi="Arial"/>
          <w:sz w:val="20"/>
          <w:szCs w:val="20"/>
        </w:rPr>
        <w:t xml:space="preserve">For full MaintainX API architecture, Node-RED flow design, and work order template configuration refer to the MaintainX Implementation Concept document in folder 09_MaintainX_Implementation.</w:t>
      </w:r>
    </w:p>
    <w:p>
      <w:pPr>
        <w:pBdr>
          <w:bottom w:val="single" w:color="1F3864" w:sz="6" w:space="1"/>
        </w:pBdr>
        <w:spacing w:after="120" w:before="320"/>
      </w:pPr>
      <w:r>
        <w:rPr>
          <w:rFonts w:ascii="Arial" w:cs="Arial" w:eastAsia="Arial" w:hAnsi="Arial"/>
          <w:b/>
          <w:bCs/>
          <w:color w:val="1F3864"/>
          <w:sz w:val="24"/>
          <w:szCs w:val="24"/>
        </w:rPr>
        <w:t xml:space="preserve">8.  YouTube Content Outline</w:t>
      </w:r>
    </w:p>
    <w:p>
      <w:pPr>
        <w:spacing w:after="80" w:before="80"/>
      </w:pPr>
      <w:r>
        <w:rPr>
          <w:rFonts w:ascii="Arial" w:cs="Arial" w:eastAsia="Arial" w:hAnsi="Arial"/>
          <w:sz w:val="20"/>
          <w:szCs w:val="20"/>
        </w:rPr>
        <w:t xml:space="preserve">The pump module generates multiple distinct YouTube episodes. Each episode covers a complete concept that stands alone while building toward the full predictive maintenance demonstration.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5600"/>
      </w:tblGrid>
      <w:tr>
        <w:tc>
          <w:tcPr>
            <w:tcW w:type="dxa" w:w="5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Ep.</w:t>
            </w:r>
          </w:p>
        </w:tc>
        <w:tc>
          <w:tcPr>
            <w:tcW w:type="dxa" w:w="32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56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Building the IO-Link Pump Module</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Physical build — enclosure, pump, reservoir, piping, sensor mounting. First power-up.</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IO-Link Master Configuration</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IFM master setup, IODD device description files, sensor commissioning, port assignments.</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Non-Invasive Integration — Edge Device Path</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EPIC Node-RED reading IO-Link master, ISA-95 naming, Sparkplug B publish, MQTT Explorer verification.</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Direct PLC Integration — Studio 5000 Path</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CompactLogix EtherNet/IP to IO-Link master, UDT design, sensor data in tag database.</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Establishing Vibration Baselines</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Running pump at normal conditions, recording baseline, setting thresholds in Ignition.</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Predictive Maintenance End to End</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Anomaly introduction, threshold breach, Ignition alarm, Node-RED API call, MaintainX work order, technician notification.</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Remote Monitoring Demo</w:t>
            </w:r>
          </w:p>
        </w:tc>
        <w:tc>
          <w:tcPr>
            <w:tcW w:type="dxa" w:w="5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Phase 6 — live pump data visible remotely via WireGuard VPN, webcam showing physical rack.</w:t>
            </w:r>
          </w:p>
        </w:tc>
      </w:tr>
    </w:tbl>
    <w:p>
      <w:pPr>
        <w:pBdr>
          <w:bottom w:val="single" w:color="1F3864" w:sz="6" w:space="1"/>
        </w:pBdr>
        <w:spacing w:after="120" w:before="320"/>
      </w:pPr>
      <w:r>
        <w:rPr>
          <w:rFonts w:ascii="Arial" w:cs="Arial" w:eastAsia="Arial" w:hAnsi="Arial"/>
          <w:b/>
          <w:bCs/>
          <w:color w:val="1F3864"/>
          <w:sz w:val="24"/>
          <w:szCs w:val="24"/>
        </w:rPr>
        <w:t xml:space="preserve">9.  Open Items &amp; Procurement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5800"/>
      </w:tblGrid>
      <w:tr>
        <w:tc>
          <w:tcPr>
            <w:tcW w:type="dxa" w:w="5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Item</w:t>
            </w:r>
          </w:p>
        </w:tc>
        <w:tc>
          <w:tcPr>
            <w:tcW w:type="dxa" w:w="5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01</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IO-Link master — IFM AL1590 — purchase</w:t>
            </w:r>
          </w:p>
        </w:tc>
        <w:tc>
          <w:tcPr>
            <w:tcW w:type="dxa" w:w="5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IFM AL1590 — 8-port — OPC-UA, PROFINET, EtherNet/IP, integrated Node-RED. Approximately $300 used. Doubles integration capability over basic 4-channel unit. Confirmed selection.</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02</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Pump and motor selection</w:t>
            </w:r>
          </w:p>
        </w:tc>
        <w:tc>
          <w:tcPr>
            <w:tcW w:type="dxa" w:w="5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24VDC — sized for small demonstration flow. Used market or new industrial grade.</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03</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Four IO-Link sensors — IFM preferred</w:t>
            </w:r>
          </w:p>
        </w:tc>
        <w:tc>
          <w:tcPr>
            <w:tcW w:type="dxa" w:w="5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Temperature, pressure, flow, vibration. IFM sensor line matches master for simplified IODD management.</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04</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Enclosure design and build</w:t>
            </w:r>
          </w:p>
        </w:tc>
        <w:tc>
          <w:tcPr>
            <w:tcW w:type="dxa" w:w="5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Compact — clear tubing visible. Mountable to rack side or wall near rack.</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05</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CompactLogix UDT design for sensor data</w:t>
            </w:r>
          </w:p>
        </w:tc>
        <w:tc>
          <w:tcPr>
            <w:tcW w:type="dxa" w:w="5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ISA-95 named UDT members. Part of Phase 4 program specification work.</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06</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EPIC Node-RED flow for IO-Link master</w:t>
            </w:r>
          </w:p>
        </w:tc>
        <w:tc>
          <w:tcPr>
            <w:tcW w:type="dxa" w:w="5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AL1590 integrated Node-RED publishes to broker. EPIC Node-RED subscribes and republishes as Sparkplug B with ISA-95 naming. Two-layer Node-RED architecture. Phase 4 activity.</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07</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Vibration baseline commissioning procedure</w:t>
            </w:r>
          </w:p>
        </w:tc>
        <w:tc>
          <w:tcPr>
            <w:tcW w:type="dxa" w:w="5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Run pump at normal conditions, record baseline, document normal range. Required before MaintainX threshold configuration.</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08</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MaintainX work order template design</w:t>
            </w:r>
          </w:p>
        </w:tc>
        <w:tc>
          <w:tcPr>
            <w:tcW w:type="dxa" w:w="5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See 09_MaintainX_Implementation folder for API integration details.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INFORMATION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Document Title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IO-Link Pump Module Implementation Concept — Loogootee Mfg. Training Simulation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Jeremy Field — Senior Automation Technician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Revision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Rev 0.2 — IO-Link master updated to IFM AL1590. Multiprotocol capability and integrated Node-RED documented.</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Phase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Phase 4 — IO-Link Smart Sensors / Phase 5 — MaintainX CMMS Integration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Repository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github.com/JeremySField/loogootee-mfg-training-simulation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Related Docs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IIoT Architecture Decision Record Rev 0.1  /  MaintainX Implementation Concept Rev 0.1  /  Rack Phased Development Plan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Concept — implementation pending Phase 4 rack development</w:t>
            </w:r>
          </w:p>
        </w:tc>
      </w:tr>
    </w:tbl>
    <w:p>
      <w:pPr>
        <w:spacing w:before="300"/>
        <w:jc w:val="center"/>
      </w:pPr>
      <w:r>
        <w:rPr>
          <w:rFonts w:ascii="Arial" w:cs="Arial" w:eastAsia="Arial" w:hAnsi="Arial"/>
          <w:i/>
          <w:iCs/>
          <w:color w:val="666666"/>
          <w:sz w:val="18"/>
          <w:szCs w:val="18"/>
        </w:rPr>
        <w:t xml:space="preserve">Jeremy Field  ·  Rev 0.2  ·  April 2026  ·  Training Simulation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2026-04-15T04:54:08.475Z</dcterms:created>
  <dcterms:modified xsi:type="dcterms:W3CDTF">2026-04-15T04:54:08.476Z</dcterms:modified>
</cp:coreProperties>
</file>

<file path=docProps/custom.xml><?xml version="1.0" encoding="utf-8"?>
<Properties xmlns="http://schemas.openxmlformats.org/officeDocument/2006/custom-properties" xmlns:vt="http://schemas.openxmlformats.org/officeDocument/2006/docPropsVTypes"/>
</file>