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F3864" w:val="clear"/>
            <w:tcMar>
              <w:top w:type="dxa" w:w="240"/>
              <w:left w:type="dxa" w:w="240"/>
              <w:bottom w:type="dxa" w:w="240"/>
              <w:right w:type="dxa" w:w="240"/>
            </w:tcMar>
          </w:tcPr>
          <w:p>
            <w:pPr>
              <w:jc w:val="center"/>
            </w:pPr>
            <w:r>
              <w:rPr>
                <w:rFonts w:ascii="Arial" w:cs="Arial" w:eastAsia="Arial" w:hAnsi="Arial"/>
                <w:b/>
                <w:bCs/>
                <w:color w:val="D5E8F0"/>
                <w:sz w:val="22"/>
                <w:szCs w:val="22"/>
              </w:rPr>
              <w:t xml:space="preserve">LOOGOOTEE MFG. — TRAINING SIMULATION</w:t>
            </w:r>
          </w:p>
          <w:p>
            <w:pPr>
              <w:spacing w:before="60"/>
              <w:jc w:val="center"/>
            </w:pPr>
            <w:r>
              <w:rPr>
                <w:rFonts w:ascii="Arial" w:cs="Arial" w:eastAsia="Arial" w:hAnsi="Arial"/>
                <w:b/>
                <w:bCs/>
                <w:color w:val="FFFFFF"/>
                <w:sz w:val="36"/>
                <w:szCs w:val="36"/>
              </w:rPr>
              <w:t xml:space="preserve">CMMS Integration Strategy</w:t>
            </w:r>
          </w:p>
          <w:p>
            <w:pPr>
              <w:jc w:val="center"/>
            </w:pPr>
            <w:r>
              <w:rPr>
                <w:rFonts w:ascii="Arial" w:cs="Arial" w:eastAsia="Arial" w:hAnsi="Arial"/>
                <w:b/>
                <w:bCs/>
                <w:color w:val="FFFFFF"/>
                <w:sz w:val="26"/>
                <w:szCs w:val="26"/>
              </w:rPr>
              <w:t xml:space="preserve">MaintainX Implementation &amp; Upgrade Plan</w:t>
            </w:r>
          </w:p>
          <w:p>
            <w:pPr>
              <w:spacing w:before="140"/>
              <w:jc w:val="center"/>
            </w:pPr>
            <w:r>
              <w:rPr>
                <w:rFonts w:ascii="Arial" w:cs="Arial" w:eastAsia="Arial" w:hAnsi="Arial"/>
                <w:i/>
                <w:iCs/>
                <w:color w:val="D5E8F0"/>
                <w:sz w:val="20"/>
                <w:szCs w:val="20"/>
              </w:rPr>
              <w:t xml:space="preserve">Prepared by: Jeremy Field  ·  Senior Automation Technician</w:t>
            </w:r>
          </w:p>
          <w:p>
            <w:pPr>
              <w:jc w:val="center"/>
            </w:pPr>
            <w:r>
              <w:rPr>
                <w:rFonts w:ascii="Arial" w:cs="Arial" w:eastAsia="Arial" w:hAnsi="Arial"/>
                <w:i/>
                <w:iCs/>
                <w:color w:val="D5E8F0"/>
                <w:sz w:val="18"/>
                <w:szCs w:val="18"/>
              </w:rPr>
              <w:t xml:space="preserve">April 2026  ·  Training Simulation — Not for Distribution</w:t>
            </w:r>
          </w:p>
        </w:tc>
      </w:tr>
    </w:tbl>
    <w:p>
      <w:pPr>
        <w:spacing w:after="0" w:before="100"/>
      </w:pPr>
    </w:p>
    <w:p>
      <w:pPr>
        <w:pBdr>
          <w:bottom w:val="single" w:color="1F3864" w:sz="6" w:space="1"/>
        </w:pBdr>
        <w:spacing w:after="120" w:before="320"/>
      </w:pPr>
      <w:r>
        <w:rPr>
          <w:rFonts w:ascii="Arial" w:cs="Arial" w:eastAsia="Arial" w:hAnsi="Arial"/>
          <w:b/>
          <w:bCs/>
          <w:color w:val="1F3864"/>
          <w:sz w:val="24"/>
          <w:szCs w:val="24"/>
        </w:rPr>
        <w:t xml:space="preserve">1.  Introduction</w:t>
      </w:r>
    </w:p>
    <w:p>
      <w:pPr>
        <w:spacing w:after="80" w:before="80"/>
      </w:pPr>
      <w:r>
        <w:rPr>
          <w:rFonts w:ascii="Arial" w:cs="Arial" w:eastAsia="Arial" w:hAnsi="Arial"/>
          <w:sz w:val="20"/>
          <w:szCs w:val="20"/>
        </w:rPr>
        <w:t xml:space="preserve">This document outlines the MaintainX Computerized Maintenance Management System (CMMS) rollout strategy for the Loogootee Mfg. Training Simulation. The strategy is aligned with the six-phase development plan of the 42U Multi-Platform Training Rack and is intentionally cost-optimized to support a realistic, scalable, and affordable CMMS deployment. The goal is to demonstrate a complete maintenance digitalization workflow, including predictive maintenance and automated work-order generation.</w:t>
      </w:r>
    </w:p>
    <w:p>
      <w:pPr>
        <w:spacing w:after="0" w:before="100"/>
      </w:pPr>
    </w:p>
    <w:p>
      <w:pPr>
        <w:spacing w:after="80" w:before="80"/>
      </w:pPr>
      <w:r>
        <w:rPr>
          <w:rFonts w:ascii="Arial" w:cs="Arial" w:eastAsia="Arial" w:hAnsi="Arial"/>
          <w:sz w:val="20"/>
          <w:szCs w:val="20"/>
        </w:rPr>
        <w:t xml:space="preserve">The MaintainX integration supports three primary objectives:</w:t>
      </w:r>
    </w:p>
    <w:p>
      <w:pPr>
        <w:pStyle w:val="ListParagraph"/>
        <w:numPr>
          <w:ilvl w:val="0"/>
          <w:numId w:val="2"/>
        </w:numPr>
        <w:spacing w:after="40" w:before="40"/>
      </w:pPr>
      <w:r>
        <w:rPr>
          <w:rFonts w:ascii="Arial" w:cs="Arial" w:eastAsia="Arial" w:hAnsi="Arial"/>
          <w:sz w:val="20"/>
          <w:szCs w:val="20"/>
        </w:rPr>
        <w:t xml:space="preserve">Establishing a structured maintenance workflow for the simulated two-site manufacturing operation.</w:t>
      </w:r>
    </w:p>
    <w:p>
      <w:pPr>
        <w:pStyle w:val="ListParagraph"/>
        <w:numPr>
          <w:ilvl w:val="0"/>
          <w:numId w:val="2"/>
        </w:numPr>
        <w:spacing w:after="40" w:before="40"/>
      </w:pPr>
      <w:r>
        <w:rPr>
          <w:rFonts w:ascii="Arial" w:cs="Arial" w:eastAsia="Arial" w:hAnsi="Arial"/>
          <w:sz w:val="20"/>
          <w:szCs w:val="20"/>
        </w:rPr>
        <w:t xml:space="preserve">Demonstrating predictive maintenance capability driven by IIoT sensor data.</w:t>
      </w:r>
    </w:p>
    <w:p>
      <w:pPr>
        <w:pStyle w:val="ListParagraph"/>
        <w:numPr>
          <w:ilvl w:val="0"/>
          <w:numId w:val="2"/>
        </w:numPr>
        <w:spacing w:after="40" w:before="40"/>
      </w:pPr>
      <w:r>
        <w:rPr>
          <w:rFonts w:ascii="Arial" w:cs="Arial" w:eastAsia="Arial" w:hAnsi="Arial"/>
          <w:sz w:val="20"/>
          <w:szCs w:val="20"/>
        </w:rPr>
        <w:t xml:space="preserve">Showcasing automated work-order generation using the MaintainX API.</w:t>
      </w:r>
    </w:p>
    <w:p>
      <w:pPr>
        <w:pBdr>
          <w:bottom w:val="single" w:color="1F3864" w:sz="6" w:space="1"/>
        </w:pBdr>
        <w:spacing w:after="120" w:before="320"/>
      </w:pPr>
      <w:r>
        <w:rPr>
          <w:rFonts w:ascii="Arial" w:cs="Arial" w:eastAsia="Arial" w:hAnsi="Arial"/>
          <w:b/>
          <w:bCs/>
          <w:color w:val="1F3864"/>
          <w:sz w:val="24"/>
          <w:szCs w:val="24"/>
        </w:rPr>
        <w:t xml:space="preserve">2.  MaintainX Subscription Strategy</w:t>
      </w:r>
    </w:p>
    <w:p>
      <w:pPr>
        <w:spacing w:after="80" w:before="200"/>
      </w:pPr>
      <w:r>
        <w:rPr>
          <w:rFonts w:ascii="Arial" w:cs="Arial" w:eastAsia="Arial" w:hAnsi="Arial"/>
          <w:b/>
          <w:bCs/>
          <w:color w:val="1F3864"/>
          <w:sz w:val="22"/>
          <w:szCs w:val="22"/>
        </w:rPr>
        <w:t xml:space="preserve">2.1  Cost-Optimized Approach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5360"/>
      </w:tblGrid>
      <w:tr>
        <w:tc>
          <w:tcPr>
            <w:tcW w:type="dxa" w:w="1800"/>
            <w:gridSpan w:val="1"/>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r>
              <w:rPr>
                <w:rFonts w:ascii="Arial" w:cs="Arial" w:eastAsia="Arial" w:hAnsi="Arial"/>
                <w:b/>
                <w:bCs/>
                <w:color w:val="FFFFFF"/>
                <w:sz w:val="20"/>
                <w:szCs w:val="20"/>
              </w:rPr>
              <w:t xml:space="preserve">Phase</w:t>
            </w:r>
          </w:p>
        </w:tc>
        <w:tc>
          <w:tcPr>
            <w:tcW w:type="dxa" w:w="2200"/>
            <w:gridSpan w:val="1"/>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r>
              <w:rPr>
                <w:rFonts w:ascii="Arial" w:cs="Arial" w:eastAsia="Arial" w:hAnsi="Arial"/>
                <w:b/>
                <w:bCs/>
                <w:color w:val="FFFFFF"/>
                <w:sz w:val="20"/>
                <w:szCs w:val="20"/>
              </w:rPr>
              <w:t xml:space="preserve">Tier</w:t>
            </w:r>
          </w:p>
        </w:tc>
        <w:tc>
          <w:tcPr>
            <w:tcW w:type="dxa" w:w="5360"/>
            <w:gridSpan w:val="1"/>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r>
              <w:rPr>
                <w:rFonts w:ascii="Arial" w:cs="Arial" w:eastAsia="Arial" w:hAnsi="Arial"/>
                <w:b/>
                <w:bCs/>
                <w:color w:val="FFFFFF"/>
                <w:sz w:val="20"/>
                <w:szCs w:val="20"/>
              </w:rPr>
              <w:t xml:space="preserve">Rationale</w:t>
            </w:r>
          </w:p>
        </w:tc>
      </w:tr>
      <w:tr>
        <w:tc>
          <w:tcPr>
            <w:tcW w:type="dxa" w:w="18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b/>
                <w:bCs/>
                <w:sz w:val="20"/>
                <w:szCs w:val="20"/>
              </w:rPr>
              <w:t xml:space="preserve">Phases 1–4</w:t>
            </w:r>
          </w:p>
        </w:tc>
        <w:tc>
          <w:tcPr>
            <w:tcW w:type="dxa" w:w="22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Free or Essential ($0–$20/mo)</w:t>
            </w:r>
          </w:p>
        </w:tc>
        <w:tc>
          <w:tcPr>
            <w:tcW w:type="dxa" w:w="5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Build all structure, assets, procedures, and manual work orders without incurring Premium costs.</w:t>
            </w:r>
          </w:p>
        </w:tc>
      </w:tr>
      <w:tr>
        <w:tc>
          <w:tcPr>
            <w:tcW w:type="dxa" w:w="18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b/>
                <w:bCs/>
                <w:sz w:val="20"/>
                <w:szCs w:val="20"/>
              </w:rPr>
              <w:t xml:space="preserve">Phase 5</w:t>
            </w:r>
          </w:p>
        </w:tc>
        <w:tc>
          <w:tcPr>
            <w:tcW w:type="dxa" w:w="2200"/>
            <w:tcBorders>
              <w:top w:val="single" w:color="CCCCCC" w:sz="1"/>
              <w:left w:val="single" w:color="CCCCCC" w:sz="1"/>
              <w:bottom w:val="single" w:color="CCCCCC" w:sz="1"/>
              <w:right w:val="single" w:color="CCCCCC" w:sz="1"/>
            </w:tcBorders>
            <w:shd w:fill="D5E8F0" w:val="clear"/>
            <w:tcMar>
              <w:top w:type="dxa" w:w="100"/>
              <w:left w:type="dxa" w:w="140"/>
              <w:bottom w:type="dxa" w:w="100"/>
              <w:right w:type="dxa" w:w="140"/>
            </w:tcMar>
          </w:tcPr>
          <w:p>
            <w:r>
              <w:rPr>
                <w:rFonts w:ascii="Arial" w:cs="Arial" w:eastAsia="Arial" w:hAnsi="Arial"/>
                <w:sz w:val="20"/>
                <w:szCs w:val="20"/>
              </w:rPr>
              <w:t xml:space="preserve">Premium ($65–$75/mo)</w:t>
            </w:r>
          </w:p>
        </w:tc>
        <w:tc>
          <w:tcPr>
            <w:tcW w:type="dxa" w:w="5360"/>
            <w:tcBorders>
              <w:top w:val="single" w:color="CCCCCC" w:sz="1"/>
              <w:left w:val="single" w:color="CCCCCC" w:sz="1"/>
              <w:bottom w:val="single" w:color="CCCCCC" w:sz="1"/>
              <w:right w:val="single" w:color="CCCCCC" w:sz="1"/>
            </w:tcBorders>
            <w:shd w:fill="D5E8F0" w:val="clear"/>
            <w:tcMar>
              <w:top w:type="dxa" w:w="100"/>
              <w:left w:type="dxa" w:w="140"/>
              <w:bottom w:type="dxa" w:w="100"/>
              <w:right w:type="dxa" w:w="140"/>
            </w:tcMar>
          </w:tcPr>
          <w:p>
            <w:r>
              <w:rPr>
                <w:rFonts w:ascii="Arial" w:cs="Arial" w:eastAsia="Arial" w:hAnsi="Arial"/>
                <w:sz w:val="20"/>
                <w:szCs w:val="20"/>
              </w:rPr>
              <w:t xml:space="preserve">Unlock API access, automation, and Copilot integration for predictive maintenance workflows.</w:t>
            </w:r>
          </w:p>
        </w:tc>
      </w:tr>
      <w:tr>
        <w:tc>
          <w:tcPr>
            <w:tcW w:type="dxa" w:w="18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b/>
                <w:bCs/>
                <w:sz w:val="20"/>
                <w:szCs w:val="20"/>
              </w:rPr>
              <w:t xml:space="preserve">Phase 6</w:t>
            </w:r>
          </w:p>
        </w:tc>
        <w:tc>
          <w:tcPr>
            <w:tcW w:type="dxa" w:w="22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Premium optional</w:t>
            </w:r>
          </w:p>
        </w:tc>
        <w:tc>
          <w:tcPr>
            <w:tcW w:type="dxa" w:w="5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Maintain automation for remote demos or downgrade after Phase 5 if automation is no longer required.</w:t>
            </w:r>
          </w:p>
        </w:tc>
      </w:tr>
    </w:tbl>
    <w:p>
      <w:pPr>
        <w:spacing w:after="0" w:before="100"/>
      </w:pPr>
    </w:p>
    <w:p>
      <w:pPr>
        <w:spacing w:after="80" w:before="200"/>
      </w:pPr>
      <w:r>
        <w:rPr>
          <w:rFonts w:ascii="Arial" w:cs="Arial" w:eastAsia="Arial" w:hAnsi="Arial"/>
          <w:b/>
          <w:bCs/>
          <w:color w:val="1F3864"/>
          <w:sz w:val="22"/>
          <w:szCs w:val="22"/>
        </w:rPr>
        <w:t xml:space="preserve">2.2  Upgrade Behavior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2EFDA" w:val="clear"/>
            <w:tcMar>
              <w:top w:type="dxa" w:w="120"/>
              <w:left w:type="dxa" w:w="160"/>
              <w:bottom w:type="dxa" w:w="120"/>
              <w:right w:type="dxa" w:w="160"/>
            </w:tcMar>
          </w:tcPr>
          <w:p>
            <w:r>
              <w:rPr>
                <w:rFonts w:ascii="Arial" w:cs="Arial" w:eastAsia="Arial" w:hAnsi="Arial"/>
                <w:sz w:val="20"/>
                <w:szCs w:val="20"/>
              </w:rPr>
              <w:t xml:space="preserve">Upgrading from Free/Essential to Premium does not delete or lock any existing work orders, alter the asset hierarchy, or restrict editing of historical data. It simply unlocks additional capabilities (API, automations, Copilot) and allows retroactive attachment of historian screenshots, logs, and sensor data. It is safe and cost-effective to build the entire CMMS foundation before upgrading.</w:t>
            </w:r>
          </w:p>
        </w:tc>
      </w:tr>
    </w:tbl>
    <w:p>
      <w:pPr>
        <w:pBdr>
          <w:bottom w:val="single" w:color="1F3864" w:sz="6" w:space="1"/>
        </w:pBdr>
        <w:spacing w:after="120" w:before="320"/>
      </w:pPr>
      <w:r>
        <w:rPr>
          <w:rFonts w:ascii="Arial" w:cs="Arial" w:eastAsia="Arial" w:hAnsi="Arial"/>
          <w:b/>
          <w:bCs/>
          <w:color w:val="1F3864"/>
          <w:sz w:val="24"/>
          <w:szCs w:val="24"/>
        </w:rPr>
        <w:t xml:space="preserve">3.  MaintainX Rollout Mapped to Rack Development Phases</w:t>
      </w:r>
    </w:p>
    <w:p>
      <w:pPr>
        <w:spacing w:after="80" w:before="80"/>
      </w:pPr>
      <w:r>
        <w:rPr>
          <w:rFonts w:ascii="Arial" w:cs="Arial" w:eastAsia="Arial" w:hAnsi="Arial"/>
          <w:sz w:val="20"/>
          <w:szCs w:val="20"/>
        </w:rPr>
        <w:t xml:space="preserve">The following phases map MaintainX activities directly to the six phases of the rack build.</w:t>
      </w:r>
    </w:p>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5760"/>
      </w:tblGrid>
      <w:tr>
        <w:tc>
          <w:tcPr>
            <w:tcW w:type="dxa" w:w="2200"/>
            <w:vMerge w:val="restart"/>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2"/>
                <w:szCs w:val="22"/>
              </w:rPr>
              <w:t xml:space="preserve">Phase 1
Controllers Programmed
Simulation Running</w:t>
            </w:r>
          </w:p>
          <w:p>
            <w:pPr>
              <w:spacing w:before="80"/>
              <w:jc w:val="center"/>
            </w:pPr>
            <w:r>
              <w:rPr>
                <w:rFonts w:ascii="Arial" w:cs="Arial" w:eastAsia="Arial" w:hAnsi="Arial"/>
                <w:color w:val="D5E8F0"/>
                <w:sz w:val="18"/>
                <w:szCs w:val="18"/>
              </w:rPr>
              <w:t xml:space="preserve">Tier:</w:t>
            </w:r>
          </w:p>
          <w:p>
            <w:pPr>
              <w:jc w:val="center"/>
            </w:pPr>
            <w:r>
              <w:rPr>
                <w:rFonts w:ascii="Arial" w:cs="Arial" w:eastAsia="Arial" w:hAnsi="Arial"/>
                <w:b/>
                <w:bCs/>
                <w:color w:val="FFFFFF"/>
                <w:sz w:val="18"/>
                <w:szCs w:val="18"/>
              </w:rPr>
              <w:t xml:space="preserve">Free or Essential</w:t>
            </w:r>
          </w:p>
        </w:tc>
        <w:tc>
          <w:tcPr>
            <w:tcW w:type="dxa" w:w="14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b/>
                <w:bCs/>
                <w:sz w:val="20"/>
                <w:szCs w:val="20"/>
              </w:rPr>
              <w:t xml:space="preserve">Objectives</w:t>
            </w:r>
          </w:p>
        </w:tc>
        <w:tc>
          <w:tcPr>
            <w:tcW w:type="dxa" w:w="57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pStyle w:val="ListParagraph"/>
              <w:numPr>
                <w:ilvl w:val="0"/>
                <w:numId w:val="2"/>
              </w:numPr>
              <w:spacing w:after="30" w:before="30"/>
            </w:pPr>
            <w:r>
              <w:rPr>
                <w:rFonts w:ascii="Arial" w:cs="Arial" w:eastAsia="Arial" w:hAnsi="Arial"/>
                <w:sz w:val="20"/>
                <w:szCs w:val="20"/>
              </w:rPr>
              <w:t xml:space="preserve">Establish CMMS foundation.</w:t>
            </w:r>
          </w:p>
          <w:p>
            <w:pPr>
              <w:pStyle w:val="ListParagraph"/>
              <w:numPr>
                <w:ilvl w:val="0"/>
                <w:numId w:val="2"/>
              </w:numPr>
              <w:spacing w:after="30" w:before="30"/>
            </w:pPr>
            <w:r>
              <w:rPr>
                <w:rFonts w:ascii="Arial" w:cs="Arial" w:eastAsia="Arial" w:hAnsi="Arial"/>
                <w:sz w:val="20"/>
                <w:szCs w:val="20"/>
              </w:rPr>
              <w:t xml:space="preserve">Begin documenting commissioning work.</w:t>
            </w:r>
          </w:p>
        </w:tc>
      </w:tr>
      <w:tr>
        <w:tc>
          <w:tcPr>
            <w:vMerge w:val="continue"/>
            <w:tcBorders>
              <w:top w:val="single" w:color="CCCCCC" w:sz="1"/>
              <w:left w:val="single" w:color="CCCCCC" w:sz="1"/>
              <w:bottom w:val="single" w:color="CCCCCC" w:sz="1"/>
              <w:right w:val="single" w:color="CCCCCC" w:sz="1"/>
            </w:tcBorders>
          </w:tcPr>
          <w:p/>
        </w:tc>
        <w:tc>
          <w:tcPr>
            <w:tcW w:type="dxa" w:w="14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b/>
                <w:bCs/>
                <w:sz w:val="20"/>
                <w:szCs w:val="20"/>
              </w:rPr>
              <w:t xml:space="preserve">Activities</w:t>
            </w:r>
          </w:p>
        </w:tc>
        <w:tc>
          <w:tcPr>
            <w:tcW w:type="dxa" w:w="57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pStyle w:val="ListParagraph"/>
              <w:numPr>
                <w:ilvl w:val="0"/>
                <w:numId w:val="2"/>
              </w:numPr>
              <w:spacing w:after="30" w:before="30"/>
            </w:pPr>
            <w:r>
              <w:rPr>
                <w:rFonts w:ascii="Arial" w:cs="Arial" w:eastAsia="Arial" w:hAnsi="Arial"/>
                <w:sz w:val="20"/>
                <w:szCs w:val="20"/>
              </w:rPr>
              <w:t xml:space="preserve">Create MaintainX organization for Loogootee Mfg.</w:t>
            </w:r>
          </w:p>
          <w:p>
            <w:pPr>
              <w:pStyle w:val="ListParagraph"/>
              <w:numPr>
                <w:ilvl w:val="0"/>
                <w:numId w:val="2"/>
              </w:numPr>
              <w:spacing w:after="30" w:before="30"/>
            </w:pPr>
            <w:r>
              <w:rPr>
                <w:rFonts w:ascii="Arial" w:cs="Arial" w:eastAsia="Arial" w:hAnsi="Arial"/>
                <w:sz w:val="20"/>
                <w:szCs w:val="20"/>
              </w:rPr>
              <w:t xml:space="preserve">Build full ISA-95 aligned asset hierarchy.</w:t>
            </w:r>
          </w:p>
          <w:p>
            <w:pPr>
              <w:pStyle w:val="ListParagraph"/>
              <w:numPr>
                <w:ilvl w:val="0"/>
                <w:numId w:val="2"/>
              </w:numPr>
              <w:spacing w:after="30" w:before="30"/>
            </w:pPr>
            <w:r>
              <w:rPr>
                <w:rFonts w:ascii="Arial" w:cs="Arial" w:eastAsia="Arial" w:hAnsi="Arial"/>
                <w:sz w:val="20"/>
                <w:szCs w:val="20"/>
              </w:rPr>
              <w:t xml:space="preserve">Create manual work orders for commissioning tasks.</w:t>
            </w:r>
          </w:p>
          <w:p>
            <w:pPr>
              <w:pStyle w:val="ListParagraph"/>
              <w:numPr>
                <w:ilvl w:val="0"/>
                <w:numId w:val="2"/>
              </w:numPr>
              <w:spacing w:after="30" w:before="30"/>
            </w:pPr>
            <w:r>
              <w:rPr>
                <w:rFonts w:ascii="Arial" w:cs="Arial" w:eastAsia="Arial" w:hAnsi="Arial"/>
                <w:sz w:val="20"/>
                <w:szCs w:val="20"/>
              </w:rPr>
              <w:t xml:space="preserve">Develop procedures and checklists for installation and setup.</w:t>
            </w:r>
          </w:p>
          <w:p>
            <w:pPr>
              <w:pStyle w:val="ListParagraph"/>
              <w:numPr>
                <w:ilvl w:val="0"/>
                <w:numId w:val="2"/>
              </w:numPr>
              <w:spacing w:after="30" w:before="30"/>
            </w:pPr>
            <w:r>
              <w:rPr>
                <w:rFonts w:ascii="Arial" w:cs="Arial" w:eastAsia="Arial" w:hAnsi="Arial"/>
                <w:sz w:val="20"/>
                <w:szCs w:val="20"/>
              </w:rPr>
              <w:t xml:space="preserve">Begin logging maintenance notes for each simulated machine.</w:t>
            </w:r>
          </w:p>
        </w:tc>
      </w:tr>
      <w:tr>
        <w:tc>
          <w:tcPr>
            <w:vMerge w:val="continue"/>
            <w:tcBorders>
              <w:top w:val="single" w:color="CCCCCC" w:sz="1"/>
              <w:left w:val="single" w:color="CCCCCC" w:sz="1"/>
              <w:bottom w:val="single" w:color="CCCCCC" w:sz="1"/>
              <w:right w:val="single" w:color="CCCCCC" w:sz="1"/>
            </w:tcBorders>
          </w:tcPr>
          <w:p/>
        </w:tc>
        <w:tc>
          <w:tcPr>
            <w:tcW w:type="dxa" w:w="14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b/>
                <w:bCs/>
                <w:sz w:val="20"/>
                <w:szCs w:val="20"/>
              </w:rPr>
              <w:t xml:space="preserve">Outcome</w:t>
            </w:r>
          </w:p>
        </w:tc>
        <w:tc>
          <w:tcPr>
            <w:tcW w:type="dxa" w:w="5760"/>
            <w:tcBorders>
              <w:top w:val="single" w:color="CCCCCC" w:sz="1"/>
              <w:left w:val="single" w:color="CCCCCC" w:sz="1"/>
              <w:bottom w:val="single" w:color="CCCCCC" w:sz="1"/>
              <w:right w:val="single" w:color="CCCCCC" w:sz="1"/>
            </w:tcBorders>
            <w:shd w:fill="D5E8F0" w:val="clear"/>
            <w:tcMar>
              <w:top w:type="dxa" w:w="100"/>
              <w:left w:type="dxa" w:w="140"/>
              <w:bottom w:type="dxa" w:w="100"/>
              <w:right w:type="dxa" w:w="140"/>
            </w:tcMar>
          </w:tcPr>
          <w:p>
            <w:r>
              <w:rPr>
                <w:rFonts w:ascii="Arial" w:cs="Arial" w:eastAsia="Arial" w:hAnsi="Arial"/>
                <w:sz w:val="20"/>
                <w:szCs w:val="20"/>
              </w:rPr>
              <w:t xml:space="preserve">A complete CMMS structure ready for future automation.</w:t>
            </w:r>
          </w:p>
        </w:tc>
      </w:tr>
    </w:tbl>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5760"/>
      </w:tblGrid>
      <w:tr>
        <w:tc>
          <w:tcPr>
            <w:tcW w:type="dxa" w:w="2200"/>
            <w:vMerge w:val="restart"/>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2"/>
                <w:szCs w:val="22"/>
              </w:rPr>
              <w:t xml:space="preserve">Phase 2
Dashboard &amp; Historian
Operational</w:t>
            </w:r>
          </w:p>
          <w:p>
            <w:pPr>
              <w:spacing w:before="80"/>
              <w:jc w:val="center"/>
            </w:pPr>
            <w:r>
              <w:rPr>
                <w:rFonts w:ascii="Arial" w:cs="Arial" w:eastAsia="Arial" w:hAnsi="Arial"/>
                <w:color w:val="D5E8F0"/>
                <w:sz w:val="18"/>
                <w:szCs w:val="18"/>
              </w:rPr>
              <w:t xml:space="preserve">Tier:</w:t>
            </w:r>
          </w:p>
          <w:p>
            <w:pPr>
              <w:jc w:val="center"/>
            </w:pPr>
            <w:r>
              <w:rPr>
                <w:rFonts w:ascii="Arial" w:cs="Arial" w:eastAsia="Arial" w:hAnsi="Arial"/>
                <w:b/>
                <w:bCs/>
                <w:color w:val="FFFFFF"/>
                <w:sz w:val="18"/>
                <w:szCs w:val="18"/>
              </w:rPr>
              <w:t xml:space="preserve">Free or Essential</w:t>
            </w:r>
          </w:p>
        </w:tc>
        <w:tc>
          <w:tcPr>
            <w:tcW w:type="dxa" w:w="14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b/>
                <w:bCs/>
                <w:sz w:val="20"/>
                <w:szCs w:val="20"/>
              </w:rPr>
              <w:t xml:space="preserve">Objectives</w:t>
            </w:r>
          </w:p>
        </w:tc>
        <w:tc>
          <w:tcPr>
            <w:tcW w:type="dxa" w:w="57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pStyle w:val="ListParagraph"/>
              <w:numPr>
                <w:ilvl w:val="0"/>
                <w:numId w:val="2"/>
              </w:numPr>
              <w:spacing w:after="30" w:before="30"/>
            </w:pPr>
            <w:r>
              <w:rPr>
                <w:rFonts w:ascii="Arial" w:cs="Arial" w:eastAsia="Arial" w:hAnsi="Arial"/>
                <w:sz w:val="20"/>
                <w:szCs w:val="20"/>
              </w:rPr>
              <w:t xml:space="preserve">Connect maintenance documentation to production data.</w:t>
            </w:r>
          </w:p>
          <w:p>
            <w:pPr>
              <w:pStyle w:val="ListParagraph"/>
              <w:numPr>
                <w:ilvl w:val="0"/>
                <w:numId w:val="2"/>
              </w:numPr>
              <w:spacing w:after="30" w:before="30"/>
            </w:pPr>
            <w:r>
              <w:rPr>
                <w:rFonts w:ascii="Arial" w:cs="Arial" w:eastAsia="Arial" w:hAnsi="Arial"/>
                <w:sz w:val="20"/>
                <w:szCs w:val="20"/>
              </w:rPr>
              <w:t xml:space="preserve">Prepare for condition-based workflows.</w:t>
            </w:r>
          </w:p>
        </w:tc>
      </w:tr>
      <w:tr>
        <w:tc>
          <w:tcPr>
            <w:vMerge w:val="continue"/>
            <w:tcBorders>
              <w:top w:val="single" w:color="CCCCCC" w:sz="1"/>
              <w:left w:val="single" w:color="CCCCCC" w:sz="1"/>
              <w:bottom w:val="single" w:color="CCCCCC" w:sz="1"/>
              <w:right w:val="single" w:color="CCCCCC" w:sz="1"/>
            </w:tcBorders>
          </w:tcPr>
          <w:p/>
        </w:tc>
        <w:tc>
          <w:tcPr>
            <w:tcW w:type="dxa" w:w="14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b/>
                <w:bCs/>
                <w:sz w:val="20"/>
                <w:szCs w:val="20"/>
              </w:rPr>
              <w:t xml:space="preserve">Activities</w:t>
            </w:r>
          </w:p>
        </w:tc>
        <w:tc>
          <w:tcPr>
            <w:tcW w:type="dxa" w:w="57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pStyle w:val="ListParagraph"/>
              <w:numPr>
                <w:ilvl w:val="0"/>
                <w:numId w:val="2"/>
              </w:numPr>
              <w:spacing w:after="30" w:before="30"/>
            </w:pPr>
            <w:r>
              <w:rPr>
                <w:rFonts w:ascii="Arial" w:cs="Arial" w:eastAsia="Arial" w:hAnsi="Arial"/>
                <w:sz w:val="20"/>
                <w:szCs w:val="20"/>
              </w:rPr>
              <w:t xml:space="preserve">Add PM templates for simulated machines.</w:t>
            </w:r>
          </w:p>
          <w:p>
            <w:pPr>
              <w:pStyle w:val="ListParagraph"/>
              <w:numPr>
                <w:ilvl w:val="0"/>
                <w:numId w:val="2"/>
              </w:numPr>
              <w:spacing w:after="30" w:before="30"/>
            </w:pPr>
            <w:r>
              <w:rPr>
                <w:rFonts w:ascii="Arial" w:cs="Arial" w:eastAsia="Arial" w:hAnsi="Arial"/>
                <w:sz w:val="20"/>
                <w:szCs w:val="20"/>
              </w:rPr>
              <w:t xml:space="preserve">Create investigative work-order templates.</w:t>
            </w:r>
          </w:p>
          <w:p>
            <w:pPr>
              <w:pStyle w:val="ListParagraph"/>
              <w:numPr>
                <w:ilvl w:val="0"/>
                <w:numId w:val="2"/>
              </w:numPr>
              <w:spacing w:after="30" w:before="30"/>
            </w:pPr>
            <w:r>
              <w:rPr>
                <w:rFonts w:ascii="Arial" w:cs="Arial" w:eastAsia="Arial" w:hAnsi="Arial"/>
                <w:sz w:val="20"/>
                <w:szCs w:val="20"/>
              </w:rPr>
              <w:t xml:space="preserve">Document shift-based maintenance tasks.</w:t>
            </w:r>
          </w:p>
          <w:p>
            <w:pPr>
              <w:pStyle w:val="ListParagraph"/>
              <w:numPr>
                <w:ilvl w:val="0"/>
                <w:numId w:val="2"/>
              </w:numPr>
              <w:spacing w:after="30" w:before="30"/>
            </w:pPr>
            <w:r>
              <w:rPr>
                <w:rFonts w:ascii="Arial" w:cs="Arial" w:eastAsia="Arial" w:hAnsi="Arial"/>
                <w:sz w:val="20"/>
                <w:szCs w:val="20"/>
              </w:rPr>
              <w:t xml:space="preserve">Attach Grafana screenshots or trend descriptions to work orders.</w:t>
            </w:r>
          </w:p>
        </w:tc>
      </w:tr>
      <w:tr>
        <w:tc>
          <w:tcPr>
            <w:vMerge w:val="continue"/>
            <w:tcBorders>
              <w:top w:val="single" w:color="CCCCCC" w:sz="1"/>
              <w:left w:val="single" w:color="CCCCCC" w:sz="1"/>
              <w:bottom w:val="single" w:color="CCCCCC" w:sz="1"/>
              <w:right w:val="single" w:color="CCCCCC" w:sz="1"/>
            </w:tcBorders>
          </w:tcPr>
          <w:p/>
        </w:tc>
        <w:tc>
          <w:tcPr>
            <w:tcW w:type="dxa" w:w="14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b/>
                <w:bCs/>
                <w:sz w:val="20"/>
                <w:szCs w:val="20"/>
              </w:rPr>
              <w:t xml:space="preserve">Outcome</w:t>
            </w:r>
          </w:p>
        </w:tc>
        <w:tc>
          <w:tcPr>
            <w:tcW w:type="dxa" w:w="5760"/>
            <w:tcBorders>
              <w:top w:val="single" w:color="CCCCCC" w:sz="1"/>
              <w:left w:val="single" w:color="CCCCCC" w:sz="1"/>
              <w:bottom w:val="single" w:color="CCCCCC" w:sz="1"/>
              <w:right w:val="single" w:color="CCCCCC" w:sz="1"/>
            </w:tcBorders>
            <w:shd w:fill="D5E8F0" w:val="clear"/>
            <w:tcMar>
              <w:top w:type="dxa" w:w="100"/>
              <w:left w:type="dxa" w:w="140"/>
              <w:bottom w:type="dxa" w:w="100"/>
              <w:right w:type="dxa" w:w="140"/>
            </w:tcMar>
          </w:tcPr>
          <w:p>
            <w:r>
              <w:rPr>
                <w:rFonts w:ascii="Arial" w:cs="Arial" w:eastAsia="Arial" w:hAnsi="Arial"/>
                <w:sz w:val="20"/>
                <w:szCs w:val="20"/>
              </w:rPr>
              <w:t xml:space="preserve">A realistic maintenance workflow tied to production visibility.</w:t>
            </w:r>
          </w:p>
        </w:tc>
      </w:tr>
    </w:tbl>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5760"/>
      </w:tblGrid>
      <w:tr>
        <w:tc>
          <w:tcPr>
            <w:tcW w:type="dxa" w:w="2200"/>
            <w:vMerge w:val="restart"/>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2"/>
                <w:szCs w:val="22"/>
              </w:rPr>
              <w:t xml:space="preserve">Phase 3
OT Rack / IIoT
Rack Split</w:t>
            </w:r>
          </w:p>
          <w:p>
            <w:pPr>
              <w:spacing w:before="80"/>
              <w:jc w:val="center"/>
            </w:pPr>
            <w:r>
              <w:rPr>
                <w:rFonts w:ascii="Arial" w:cs="Arial" w:eastAsia="Arial" w:hAnsi="Arial"/>
                <w:color w:val="D5E8F0"/>
                <w:sz w:val="18"/>
                <w:szCs w:val="18"/>
              </w:rPr>
              <w:t xml:space="preserve">Tier:</w:t>
            </w:r>
          </w:p>
          <w:p>
            <w:pPr>
              <w:jc w:val="center"/>
            </w:pPr>
            <w:r>
              <w:rPr>
                <w:rFonts w:ascii="Arial" w:cs="Arial" w:eastAsia="Arial" w:hAnsi="Arial"/>
                <w:b/>
                <w:bCs/>
                <w:color w:val="FFFFFF"/>
                <w:sz w:val="18"/>
                <w:szCs w:val="18"/>
              </w:rPr>
              <w:t xml:space="preserve">Free or Essential</w:t>
            </w:r>
          </w:p>
        </w:tc>
        <w:tc>
          <w:tcPr>
            <w:tcW w:type="dxa" w:w="14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b/>
                <w:bCs/>
                <w:sz w:val="20"/>
                <w:szCs w:val="20"/>
              </w:rPr>
              <w:t xml:space="preserve">Objectives</w:t>
            </w:r>
          </w:p>
        </w:tc>
        <w:tc>
          <w:tcPr>
            <w:tcW w:type="dxa" w:w="57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pStyle w:val="ListParagraph"/>
              <w:numPr>
                <w:ilvl w:val="0"/>
                <w:numId w:val="2"/>
              </w:numPr>
              <w:spacing w:after="30" w:before="30"/>
            </w:pPr>
            <w:r>
              <w:rPr>
                <w:rFonts w:ascii="Arial" w:cs="Arial" w:eastAsia="Arial" w:hAnsi="Arial"/>
                <w:sz w:val="20"/>
                <w:szCs w:val="20"/>
              </w:rPr>
              <w:t xml:space="preserve">Reflect physical architecture changes in CMMS.</w:t>
            </w:r>
          </w:p>
          <w:p>
            <w:pPr>
              <w:pStyle w:val="ListParagraph"/>
              <w:numPr>
                <w:ilvl w:val="0"/>
                <w:numId w:val="2"/>
              </w:numPr>
              <w:spacing w:after="30" w:before="30"/>
            </w:pPr>
            <w:r>
              <w:rPr>
                <w:rFonts w:ascii="Arial" w:cs="Arial" w:eastAsia="Arial" w:hAnsi="Arial"/>
                <w:sz w:val="20"/>
                <w:szCs w:val="20"/>
              </w:rPr>
              <w:t xml:space="preserve">Maintain documentation continuity.</w:t>
            </w:r>
          </w:p>
        </w:tc>
      </w:tr>
      <w:tr>
        <w:tc>
          <w:tcPr>
            <w:vMerge w:val="continue"/>
            <w:tcBorders>
              <w:top w:val="single" w:color="CCCCCC" w:sz="1"/>
              <w:left w:val="single" w:color="CCCCCC" w:sz="1"/>
              <w:bottom w:val="single" w:color="CCCCCC" w:sz="1"/>
              <w:right w:val="single" w:color="CCCCCC" w:sz="1"/>
            </w:tcBorders>
          </w:tcPr>
          <w:p/>
        </w:tc>
        <w:tc>
          <w:tcPr>
            <w:tcW w:type="dxa" w:w="14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b/>
                <w:bCs/>
                <w:sz w:val="20"/>
                <w:szCs w:val="20"/>
              </w:rPr>
              <w:t xml:space="preserve">Activities</w:t>
            </w:r>
          </w:p>
        </w:tc>
        <w:tc>
          <w:tcPr>
            <w:tcW w:type="dxa" w:w="57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pStyle w:val="ListParagraph"/>
              <w:numPr>
                <w:ilvl w:val="0"/>
                <w:numId w:val="2"/>
              </w:numPr>
              <w:spacing w:after="30" w:before="30"/>
            </w:pPr>
            <w:r>
              <w:rPr>
                <w:rFonts w:ascii="Arial" w:cs="Arial" w:eastAsia="Arial" w:hAnsi="Arial"/>
                <w:sz w:val="20"/>
                <w:szCs w:val="20"/>
              </w:rPr>
              <w:t xml:space="preserve">Update asset hierarchy to reflect rack separation.</w:t>
            </w:r>
          </w:p>
          <w:p>
            <w:pPr>
              <w:pStyle w:val="ListParagraph"/>
              <w:numPr>
                <w:ilvl w:val="0"/>
                <w:numId w:val="2"/>
              </w:numPr>
              <w:spacing w:after="30" w:before="30"/>
            </w:pPr>
            <w:r>
              <w:rPr>
                <w:rFonts w:ascii="Arial" w:cs="Arial" w:eastAsia="Arial" w:hAnsi="Arial"/>
                <w:sz w:val="20"/>
                <w:szCs w:val="20"/>
              </w:rPr>
              <w:t xml:space="preserve">Add rack-level assets for realism.</w:t>
            </w:r>
          </w:p>
          <w:p>
            <w:pPr>
              <w:pStyle w:val="ListParagraph"/>
              <w:numPr>
                <w:ilvl w:val="0"/>
                <w:numId w:val="2"/>
              </w:numPr>
              <w:spacing w:after="30" w:before="30"/>
            </w:pPr>
            <w:r>
              <w:rPr>
                <w:rFonts w:ascii="Arial" w:cs="Arial" w:eastAsia="Arial" w:hAnsi="Arial"/>
                <w:sz w:val="20"/>
                <w:szCs w:val="20"/>
              </w:rPr>
              <w:t xml:space="preserve">Document the rack split as a maintenance event.</w:t>
            </w:r>
          </w:p>
          <w:p>
            <w:pPr>
              <w:pStyle w:val="ListParagraph"/>
              <w:numPr>
                <w:ilvl w:val="0"/>
                <w:numId w:val="2"/>
              </w:numPr>
              <w:spacing w:after="30" w:before="30"/>
            </w:pPr>
            <w:r>
              <w:rPr>
                <w:rFonts w:ascii="Arial" w:cs="Arial" w:eastAsia="Arial" w:hAnsi="Arial"/>
                <w:sz w:val="20"/>
                <w:szCs w:val="20"/>
              </w:rPr>
              <w:t xml:space="preserve">Add procedures for rack reconfiguration.</w:t>
            </w:r>
          </w:p>
        </w:tc>
      </w:tr>
      <w:tr>
        <w:tc>
          <w:tcPr>
            <w:vMerge w:val="continue"/>
            <w:tcBorders>
              <w:top w:val="single" w:color="CCCCCC" w:sz="1"/>
              <w:left w:val="single" w:color="CCCCCC" w:sz="1"/>
              <w:bottom w:val="single" w:color="CCCCCC" w:sz="1"/>
              <w:right w:val="single" w:color="CCCCCC" w:sz="1"/>
            </w:tcBorders>
          </w:tcPr>
          <w:p/>
        </w:tc>
        <w:tc>
          <w:tcPr>
            <w:tcW w:type="dxa" w:w="14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b/>
                <w:bCs/>
                <w:sz w:val="20"/>
                <w:szCs w:val="20"/>
              </w:rPr>
              <w:t xml:space="preserve">Outcome</w:t>
            </w:r>
          </w:p>
        </w:tc>
        <w:tc>
          <w:tcPr>
            <w:tcW w:type="dxa" w:w="5760"/>
            <w:tcBorders>
              <w:top w:val="single" w:color="CCCCCC" w:sz="1"/>
              <w:left w:val="single" w:color="CCCCCC" w:sz="1"/>
              <w:bottom w:val="single" w:color="CCCCCC" w:sz="1"/>
              <w:right w:val="single" w:color="CCCCCC" w:sz="1"/>
            </w:tcBorders>
            <w:shd w:fill="D5E8F0" w:val="clear"/>
            <w:tcMar>
              <w:top w:type="dxa" w:w="100"/>
              <w:left w:type="dxa" w:w="140"/>
              <w:bottom w:type="dxa" w:w="100"/>
              <w:right w:type="dxa" w:w="140"/>
            </w:tcMar>
          </w:tcPr>
          <w:p>
            <w:r>
              <w:rPr>
                <w:rFonts w:ascii="Arial" w:cs="Arial" w:eastAsia="Arial" w:hAnsi="Arial"/>
                <w:sz w:val="20"/>
                <w:szCs w:val="20"/>
              </w:rPr>
              <w:t xml:space="preserve">CMMS structure mirrors the physical and architectural separation of OT and IIoT layers.</w:t>
            </w:r>
          </w:p>
        </w:tc>
      </w:tr>
    </w:tbl>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5760"/>
      </w:tblGrid>
      <w:tr>
        <w:tc>
          <w:tcPr>
            <w:tcW w:type="dxa" w:w="2200"/>
            <w:vMerge w:val="restart"/>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2"/>
                <w:szCs w:val="22"/>
              </w:rPr>
              <w:t xml:space="preserve">Phase 4
IO-Link Smart
Sensors Added</w:t>
            </w:r>
          </w:p>
          <w:p>
            <w:pPr>
              <w:spacing w:before="80"/>
              <w:jc w:val="center"/>
            </w:pPr>
            <w:r>
              <w:rPr>
                <w:rFonts w:ascii="Arial" w:cs="Arial" w:eastAsia="Arial" w:hAnsi="Arial"/>
                <w:color w:val="D5E8F0"/>
                <w:sz w:val="18"/>
                <w:szCs w:val="18"/>
              </w:rPr>
              <w:t xml:space="preserve">Tier:</w:t>
            </w:r>
          </w:p>
          <w:p>
            <w:pPr>
              <w:jc w:val="center"/>
            </w:pPr>
            <w:r>
              <w:rPr>
                <w:rFonts w:ascii="Arial" w:cs="Arial" w:eastAsia="Arial" w:hAnsi="Arial"/>
                <w:b/>
                <w:bCs/>
                <w:color w:val="FFFFFF"/>
                <w:sz w:val="18"/>
                <w:szCs w:val="18"/>
              </w:rPr>
              <w:t xml:space="preserve">Free or Essential</w:t>
            </w:r>
          </w:p>
        </w:tc>
        <w:tc>
          <w:tcPr>
            <w:tcW w:type="dxa" w:w="14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b/>
                <w:bCs/>
                <w:sz w:val="20"/>
                <w:szCs w:val="20"/>
              </w:rPr>
              <w:t xml:space="preserve">Objectives</w:t>
            </w:r>
          </w:p>
        </w:tc>
        <w:tc>
          <w:tcPr>
            <w:tcW w:type="dxa" w:w="57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pStyle w:val="ListParagraph"/>
              <w:numPr>
                <w:ilvl w:val="0"/>
                <w:numId w:val="2"/>
              </w:numPr>
              <w:spacing w:after="30" w:before="30"/>
            </w:pPr>
            <w:r>
              <w:rPr>
                <w:rFonts w:ascii="Arial" w:cs="Arial" w:eastAsia="Arial" w:hAnsi="Arial"/>
                <w:sz w:val="20"/>
                <w:szCs w:val="20"/>
              </w:rPr>
              <w:t xml:space="preserve">Introduce condition-based maintenance concepts.</w:t>
            </w:r>
          </w:p>
          <w:p>
            <w:pPr>
              <w:pStyle w:val="ListParagraph"/>
              <w:numPr>
                <w:ilvl w:val="0"/>
                <w:numId w:val="2"/>
              </w:numPr>
              <w:spacing w:after="30" w:before="30"/>
            </w:pPr>
            <w:r>
              <w:rPr>
                <w:rFonts w:ascii="Arial" w:cs="Arial" w:eastAsia="Arial" w:hAnsi="Arial"/>
                <w:sz w:val="20"/>
                <w:szCs w:val="20"/>
              </w:rPr>
              <w:t xml:space="preserve">Prepare for predictive maintenance.</w:t>
            </w:r>
          </w:p>
        </w:tc>
      </w:tr>
      <w:tr>
        <w:tc>
          <w:tcPr>
            <w:vMerge w:val="continue"/>
            <w:tcBorders>
              <w:top w:val="single" w:color="CCCCCC" w:sz="1"/>
              <w:left w:val="single" w:color="CCCCCC" w:sz="1"/>
              <w:bottom w:val="single" w:color="CCCCCC" w:sz="1"/>
              <w:right w:val="single" w:color="CCCCCC" w:sz="1"/>
            </w:tcBorders>
          </w:tcPr>
          <w:p/>
        </w:tc>
        <w:tc>
          <w:tcPr>
            <w:tcW w:type="dxa" w:w="14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b/>
                <w:bCs/>
                <w:sz w:val="20"/>
                <w:szCs w:val="20"/>
              </w:rPr>
              <w:t xml:space="preserve">Activities</w:t>
            </w:r>
          </w:p>
        </w:tc>
        <w:tc>
          <w:tcPr>
            <w:tcW w:type="dxa" w:w="57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pStyle w:val="ListParagraph"/>
              <w:numPr>
                <w:ilvl w:val="0"/>
                <w:numId w:val="2"/>
              </w:numPr>
              <w:spacing w:after="30" w:before="30"/>
            </w:pPr>
            <w:r>
              <w:rPr>
                <w:rFonts w:ascii="Arial" w:cs="Arial" w:eastAsia="Arial" w:hAnsi="Arial"/>
                <w:sz w:val="20"/>
                <w:szCs w:val="20"/>
              </w:rPr>
              <w:t xml:space="preserve">Add IO-Link sensors as assets or subcomponents.</w:t>
            </w:r>
          </w:p>
          <w:p>
            <w:pPr>
              <w:pStyle w:val="ListParagraph"/>
              <w:numPr>
                <w:ilvl w:val="0"/>
                <w:numId w:val="2"/>
              </w:numPr>
              <w:spacing w:after="30" w:before="30"/>
            </w:pPr>
            <w:r>
              <w:rPr>
                <w:rFonts w:ascii="Arial" w:cs="Arial" w:eastAsia="Arial" w:hAnsi="Arial"/>
                <w:sz w:val="20"/>
                <w:szCs w:val="20"/>
              </w:rPr>
              <w:t xml:space="preserve">Create condition-based maintenance templates.</w:t>
            </w:r>
          </w:p>
          <w:p>
            <w:pPr>
              <w:pStyle w:val="ListParagraph"/>
              <w:numPr>
                <w:ilvl w:val="0"/>
                <w:numId w:val="2"/>
              </w:numPr>
              <w:spacing w:after="30" w:before="30"/>
            </w:pPr>
            <w:r>
              <w:rPr>
                <w:rFonts w:ascii="Arial" w:cs="Arial" w:eastAsia="Arial" w:hAnsi="Arial"/>
                <w:sz w:val="20"/>
                <w:szCs w:val="20"/>
              </w:rPr>
              <w:t xml:space="preserve">Document baseline readings manually.</w:t>
            </w:r>
          </w:p>
          <w:p>
            <w:pPr>
              <w:pStyle w:val="ListParagraph"/>
              <w:numPr>
                <w:ilvl w:val="0"/>
                <w:numId w:val="2"/>
              </w:numPr>
              <w:spacing w:after="30" w:before="30"/>
            </w:pPr>
            <w:r>
              <w:rPr>
                <w:rFonts w:ascii="Arial" w:cs="Arial" w:eastAsia="Arial" w:hAnsi="Arial"/>
                <w:sz w:val="20"/>
                <w:szCs w:val="20"/>
              </w:rPr>
              <w:t xml:space="preserve">Define threshold values for future automation.</w:t>
            </w:r>
          </w:p>
        </w:tc>
      </w:tr>
      <w:tr>
        <w:tc>
          <w:tcPr>
            <w:vMerge w:val="continue"/>
            <w:tcBorders>
              <w:top w:val="single" w:color="CCCCCC" w:sz="1"/>
              <w:left w:val="single" w:color="CCCCCC" w:sz="1"/>
              <w:bottom w:val="single" w:color="CCCCCC" w:sz="1"/>
              <w:right w:val="single" w:color="CCCCCC" w:sz="1"/>
            </w:tcBorders>
          </w:tcPr>
          <w:p/>
        </w:tc>
        <w:tc>
          <w:tcPr>
            <w:tcW w:type="dxa" w:w="14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b/>
                <w:bCs/>
                <w:sz w:val="20"/>
                <w:szCs w:val="20"/>
              </w:rPr>
              <w:t xml:space="preserve">Outcome</w:t>
            </w:r>
          </w:p>
        </w:tc>
        <w:tc>
          <w:tcPr>
            <w:tcW w:type="dxa" w:w="5760"/>
            <w:tcBorders>
              <w:top w:val="single" w:color="CCCCCC" w:sz="1"/>
              <w:left w:val="single" w:color="CCCCCC" w:sz="1"/>
              <w:bottom w:val="single" w:color="CCCCCC" w:sz="1"/>
              <w:right w:val="single" w:color="CCCCCC" w:sz="1"/>
            </w:tcBorders>
            <w:shd w:fill="D5E8F0" w:val="clear"/>
            <w:tcMar>
              <w:top w:type="dxa" w:w="100"/>
              <w:left w:type="dxa" w:w="140"/>
              <w:bottom w:type="dxa" w:w="100"/>
              <w:right w:type="dxa" w:w="140"/>
            </w:tcMar>
          </w:tcPr>
          <w:p>
            <w:r>
              <w:rPr>
                <w:rFonts w:ascii="Arial" w:cs="Arial" w:eastAsia="Arial" w:hAnsi="Arial"/>
                <w:sz w:val="20"/>
                <w:szCs w:val="20"/>
              </w:rPr>
              <w:t xml:space="preserve">A complete sensor-driven maintenance foundation ready for API integration.</w:t>
            </w:r>
          </w:p>
        </w:tc>
      </w:tr>
    </w:tbl>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5760"/>
      </w:tblGrid>
      <w:tr>
        <w:tc>
          <w:tcPr>
            <w:tcW w:type="dxa" w:w="2200"/>
            <w:vMerge w:val="restart"/>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2"/>
                <w:szCs w:val="22"/>
              </w:rPr>
              <w:t xml:space="preserve">Phase 5
CMMS Integration &amp;
Predictive Maintenance</w:t>
            </w:r>
          </w:p>
          <w:p>
            <w:pPr>
              <w:spacing w:before="80"/>
              <w:jc w:val="center"/>
            </w:pPr>
            <w:r>
              <w:rPr>
                <w:rFonts w:ascii="Arial" w:cs="Arial" w:eastAsia="Arial" w:hAnsi="Arial"/>
                <w:color w:val="D5E8F0"/>
                <w:sz w:val="18"/>
                <w:szCs w:val="18"/>
              </w:rPr>
              <w:t xml:space="preserve">Tier:</w:t>
            </w:r>
          </w:p>
          <w:p>
            <w:pPr>
              <w:jc w:val="center"/>
            </w:pPr>
            <w:r>
              <w:rPr>
                <w:rFonts w:ascii="Arial" w:cs="Arial" w:eastAsia="Arial" w:hAnsi="Arial"/>
                <w:b/>
                <w:bCs/>
                <w:color w:val="FFFFFF"/>
                <w:sz w:val="18"/>
                <w:szCs w:val="18"/>
              </w:rPr>
              <w:t xml:space="preserve">Premium — Required</w:t>
            </w:r>
          </w:p>
        </w:tc>
        <w:tc>
          <w:tcPr>
            <w:tcW w:type="dxa" w:w="14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b/>
                <w:bCs/>
                <w:sz w:val="20"/>
                <w:szCs w:val="20"/>
              </w:rPr>
              <w:t xml:space="preserve">Objectives</w:t>
            </w:r>
          </w:p>
        </w:tc>
        <w:tc>
          <w:tcPr>
            <w:tcW w:type="dxa" w:w="57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pStyle w:val="ListParagraph"/>
              <w:numPr>
                <w:ilvl w:val="0"/>
                <w:numId w:val="2"/>
              </w:numPr>
              <w:spacing w:after="30" w:before="30"/>
            </w:pPr>
            <w:r>
              <w:rPr>
                <w:rFonts w:ascii="Arial" w:cs="Arial" w:eastAsia="Arial" w:hAnsi="Arial"/>
                <w:sz w:val="20"/>
                <w:szCs w:val="20"/>
              </w:rPr>
              <w:t xml:space="preserve">Demonstrate automated work-order generation.</w:t>
            </w:r>
          </w:p>
          <w:p>
            <w:pPr>
              <w:pStyle w:val="ListParagraph"/>
              <w:numPr>
                <w:ilvl w:val="0"/>
                <w:numId w:val="2"/>
              </w:numPr>
              <w:spacing w:after="30" w:before="30"/>
            </w:pPr>
            <w:r>
              <w:rPr>
                <w:rFonts w:ascii="Arial" w:cs="Arial" w:eastAsia="Arial" w:hAnsi="Arial"/>
                <w:sz w:val="20"/>
                <w:szCs w:val="20"/>
              </w:rPr>
              <w:t xml:space="preserve">Implement predictive maintenance workflow.</w:t>
            </w:r>
          </w:p>
        </w:tc>
      </w:tr>
      <w:tr>
        <w:tc>
          <w:tcPr>
            <w:vMerge w:val="continue"/>
            <w:tcBorders>
              <w:top w:val="single" w:color="CCCCCC" w:sz="1"/>
              <w:left w:val="single" w:color="CCCCCC" w:sz="1"/>
              <w:bottom w:val="single" w:color="CCCCCC" w:sz="1"/>
              <w:right w:val="single" w:color="CCCCCC" w:sz="1"/>
            </w:tcBorders>
          </w:tcPr>
          <w:p/>
        </w:tc>
        <w:tc>
          <w:tcPr>
            <w:tcW w:type="dxa" w:w="14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b/>
                <w:bCs/>
                <w:sz w:val="20"/>
                <w:szCs w:val="20"/>
              </w:rPr>
              <w:t xml:space="preserve">Activities</w:t>
            </w:r>
          </w:p>
        </w:tc>
        <w:tc>
          <w:tcPr>
            <w:tcW w:type="dxa" w:w="57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pStyle w:val="ListParagraph"/>
              <w:numPr>
                <w:ilvl w:val="0"/>
                <w:numId w:val="2"/>
              </w:numPr>
              <w:spacing w:after="30" w:before="30"/>
            </w:pPr>
            <w:r>
              <w:rPr>
                <w:rFonts w:ascii="Arial" w:cs="Arial" w:eastAsia="Arial" w:hAnsi="Arial"/>
                <w:sz w:val="20"/>
                <w:szCs w:val="20"/>
              </w:rPr>
              <w:t xml:space="preserve">Upgrade to Premium to unlock API access.</w:t>
            </w:r>
          </w:p>
          <w:p>
            <w:pPr>
              <w:pStyle w:val="ListParagraph"/>
              <w:numPr>
                <w:ilvl w:val="0"/>
                <w:numId w:val="2"/>
              </w:numPr>
              <w:spacing w:after="30" w:before="30"/>
            </w:pPr>
            <w:r>
              <w:rPr>
                <w:rFonts w:ascii="Arial" w:cs="Arial" w:eastAsia="Arial" w:hAnsi="Arial"/>
                <w:sz w:val="20"/>
                <w:szCs w:val="20"/>
              </w:rPr>
              <w:t xml:space="preserve">Build Node-RED → MaintainX automation flows.</w:t>
            </w:r>
          </w:p>
          <w:p>
            <w:pPr>
              <w:pStyle w:val="ListParagraph"/>
              <w:numPr>
                <w:ilvl w:val="0"/>
                <w:numId w:val="2"/>
              </w:numPr>
              <w:spacing w:after="30" w:before="30"/>
            </w:pPr>
            <w:r>
              <w:rPr>
                <w:rFonts w:ascii="Arial" w:cs="Arial" w:eastAsia="Arial" w:hAnsi="Arial"/>
                <w:sz w:val="20"/>
                <w:szCs w:val="20"/>
              </w:rPr>
              <w:t xml:space="preserve">Trigger work orders based on IO-Link sensor thresholds.</w:t>
            </w:r>
          </w:p>
          <w:p>
            <w:pPr>
              <w:pStyle w:val="ListParagraph"/>
              <w:numPr>
                <w:ilvl w:val="0"/>
                <w:numId w:val="2"/>
              </w:numPr>
              <w:spacing w:after="30" w:before="30"/>
            </w:pPr>
            <w:r>
              <w:rPr>
                <w:rFonts w:ascii="Arial" w:cs="Arial" w:eastAsia="Arial" w:hAnsi="Arial"/>
                <w:sz w:val="20"/>
                <w:szCs w:val="20"/>
              </w:rPr>
              <w:t xml:space="preserve">Use Copilot to generate procedures and documentation.</w:t>
            </w:r>
          </w:p>
          <w:p>
            <w:pPr>
              <w:pStyle w:val="ListParagraph"/>
              <w:numPr>
                <w:ilvl w:val="0"/>
                <w:numId w:val="2"/>
              </w:numPr>
              <w:spacing w:after="30" w:before="30"/>
            </w:pPr>
            <w:r>
              <w:rPr>
                <w:rFonts w:ascii="Arial" w:cs="Arial" w:eastAsia="Arial" w:hAnsi="Arial"/>
                <w:sz w:val="20"/>
                <w:szCs w:val="20"/>
              </w:rPr>
              <w:t xml:space="preserve">Demonstrate technician notification workflow.</w:t>
            </w:r>
          </w:p>
        </w:tc>
      </w:tr>
      <w:tr>
        <w:tc>
          <w:tcPr>
            <w:vMerge w:val="continue"/>
            <w:tcBorders>
              <w:top w:val="single" w:color="CCCCCC" w:sz="1"/>
              <w:left w:val="single" w:color="CCCCCC" w:sz="1"/>
              <w:bottom w:val="single" w:color="CCCCCC" w:sz="1"/>
              <w:right w:val="single" w:color="CCCCCC" w:sz="1"/>
            </w:tcBorders>
          </w:tcPr>
          <w:p/>
        </w:tc>
        <w:tc>
          <w:tcPr>
            <w:tcW w:type="dxa" w:w="14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b/>
                <w:bCs/>
                <w:sz w:val="20"/>
                <w:szCs w:val="20"/>
              </w:rPr>
              <w:t xml:space="preserve">Outcome</w:t>
            </w:r>
          </w:p>
        </w:tc>
        <w:tc>
          <w:tcPr>
            <w:tcW w:type="dxa" w:w="5760"/>
            <w:tcBorders>
              <w:top w:val="single" w:color="CCCCCC" w:sz="1"/>
              <w:left w:val="single" w:color="CCCCCC" w:sz="1"/>
              <w:bottom w:val="single" w:color="CCCCCC" w:sz="1"/>
              <w:right w:val="single" w:color="CCCCCC" w:sz="1"/>
            </w:tcBorders>
            <w:shd w:fill="D5E8F0" w:val="clear"/>
            <w:tcMar>
              <w:top w:type="dxa" w:w="100"/>
              <w:left w:type="dxa" w:w="140"/>
              <w:bottom w:type="dxa" w:w="100"/>
              <w:right w:type="dxa" w:w="140"/>
            </w:tcMar>
          </w:tcPr>
          <w:p>
            <w:r>
              <w:rPr>
                <w:rFonts w:ascii="Arial" w:cs="Arial" w:eastAsia="Arial" w:hAnsi="Arial"/>
                <w:sz w:val="20"/>
                <w:szCs w:val="20"/>
              </w:rPr>
              <w:t xml:space="preserve">A fully automated, end-to-end predictive maintenance system driven by real sensor data.</w:t>
            </w:r>
          </w:p>
        </w:tc>
      </w:tr>
    </w:tbl>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5760"/>
      </w:tblGrid>
      <w:tr>
        <w:tc>
          <w:tcPr>
            <w:tcW w:type="dxa" w:w="2200"/>
            <w:vMerge w:val="restart"/>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2"/>
                <w:szCs w:val="22"/>
              </w:rPr>
              <w:t xml:space="preserve">Phase 6
Remote Access &amp;
Multi-Site Demo</w:t>
            </w:r>
          </w:p>
          <w:p>
            <w:pPr>
              <w:spacing w:before="80"/>
              <w:jc w:val="center"/>
            </w:pPr>
            <w:r>
              <w:rPr>
                <w:rFonts w:ascii="Arial" w:cs="Arial" w:eastAsia="Arial" w:hAnsi="Arial"/>
                <w:color w:val="D5E8F0"/>
                <w:sz w:val="18"/>
                <w:szCs w:val="18"/>
              </w:rPr>
              <w:t xml:space="preserve">Tier:</w:t>
            </w:r>
          </w:p>
          <w:p>
            <w:pPr>
              <w:jc w:val="center"/>
            </w:pPr>
            <w:r>
              <w:rPr>
                <w:rFonts w:ascii="Arial" w:cs="Arial" w:eastAsia="Arial" w:hAnsi="Arial"/>
                <w:b/>
                <w:bCs/>
                <w:color w:val="FFFFFF"/>
                <w:sz w:val="18"/>
                <w:szCs w:val="18"/>
              </w:rPr>
              <w:t xml:space="preserve">Premium — Optional</w:t>
            </w:r>
          </w:p>
        </w:tc>
        <w:tc>
          <w:tcPr>
            <w:tcW w:type="dxa" w:w="14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b/>
                <w:bCs/>
                <w:sz w:val="20"/>
                <w:szCs w:val="20"/>
              </w:rPr>
              <w:t xml:space="preserve">Objectives</w:t>
            </w:r>
          </w:p>
        </w:tc>
        <w:tc>
          <w:tcPr>
            <w:tcW w:type="dxa" w:w="57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pStyle w:val="ListParagraph"/>
              <w:numPr>
                <w:ilvl w:val="0"/>
                <w:numId w:val="2"/>
              </w:numPr>
              <w:spacing w:after="30" w:before="30"/>
            </w:pPr>
            <w:r>
              <w:rPr>
                <w:rFonts w:ascii="Arial" w:cs="Arial" w:eastAsia="Arial" w:hAnsi="Arial"/>
                <w:sz w:val="20"/>
                <w:szCs w:val="20"/>
              </w:rPr>
              <w:t xml:space="preserve">Demonstrate remote CMMS workflows.</w:t>
            </w:r>
          </w:p>
          <w:p>
            <w:pPr>
              <w:pStyle w:val="ListParagraph"/>
              <w:numPr>
                <w:ilvl w:val="0"/>
                <w:numId w:val="2"/>
              </w:numPr>
              <w:spacing w:after="30" w:before="30"/>
            </w:pPr>
            <w:r>
              <w:rPr>
                <w:rFonts w:ascii="Arial" w:cs="Arial" w:eastAsia="Arial" w:hAnsi="Arial"/>
                <w:sz w:val="20"/>
                <w:szCs w:val="20"/>
              </w:rPr>
              <w:t xml:space="preserve">Showcase multi-site visibility.</w:t>
            </w:r>
          </w:p>
        </w:tc>
      </w:tr>
      <w:tr>
        <w:tc>
          <w:tcPr>
            <w:vMerge w:val="continue"/>
            <w:tcBorders>
              <w:top w:val="single" w:color="CCCCCC" w:sz="1"/>
              <w:left w:val="single" w:color="CCCCCC" w:sz="1"/>
              <w:bottom w:val="single" w:color="CCCCCC" w:sz="1"/>
              <w:right w:val="single" w:color="CCCCCC" w:sz="1"/>
            </w:tcBorders>
          </w:tcPr>
          <w:p/>
        </w:tc>
        <w:tc>
          <w:tcPr>
            <w:tcW w:type="dxa" w:w="14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b/>
                <w:bCs/>
                <w:sz w:val="20"/>
                <w:szCs w:val="20"/>
              </w:rPr>
              <w:t xml:space="preserve">Activities</w:t>
            </w:r>
          </w:p>
        </w:tc>
        <w:tc>
          <w:tcPr>
            <w:tcW w:type="dxa" w:w="57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pStyle w:val="ListParagraph"/>
              <w:numPr>
                <w:ilvl w:val="0"/>
                <w:numId w:val="2"/>
              </w:numPr>
              <w:spacing w:after="30" w:before="30"/>
            </w:pPr>
            <w:r>
              <w:rPr>
                <w:rFonts w:ascii="Arial" w:cs="Arial" w:eastAsia="Arial" w:hAnsi="Arial"/>
                <w:sz w:val="20"/>
                <w:szCs w:val="20"/>
              </w:rPr>
              <w:t xml:space="preserve">Demonstrate remote work-order creation and notifications.</w:t>
            </w:r>
          </w:p>
          <w:p>
            <w:pPr>
              <w:pStyle w:val="ListParagraph"/>
              <w:numPr>
                <w:ilvl w:val="0"/>
                <w:numId w:val="2"/>
              </w:numPr>
              <w:spacing w:after="30" w:before="30"/>
            </w:pPr>
            <w:r>
              <w:rPr>
                <w:rFonts w:ascii="Arial" w:cs="Arial" w:eastAsia="Arial" w:hAnsi="Arial"/>
                <w:sz w:val="20"/>
                <w:szCs w:val="20"/>
              </w:rPr>
              <w:t xml:space="preserve">Document remote troubleshooting procedures.</w:t>
            </w:r>
          </w:p>
          <w:p>
            <w:pPr>
              <w:pStyle w:val="ListParagraph"/>
              <w:numPr>
                <w:ilvl w:val="0"/>
                <w:numId w:val="2"/>
              </w:numPr>
              <w:spacing w:after="30" w:before="30"/>
            </w:pPr>
            <w:r>
              <w:rPr>
                <w:rFonts w:ascii="Arial" w:cs="Arial" w:eastAsia="Arial" w:hAnsi="Arial"/>
                <w:sz w:val="20"/>
                <w:szCs w:val="20"/>
              </w:rPr>
              <w:t xml:space="preserve">Optionally integrate webcam snapshots into work orders.</w:t>
            </w:r>
          </w:p>
        </w:tc>
      </w:tr>
      <w:tr>
        <w:tc>
          <w:tcPr>
            <w:vMerge w:val="continue"/>
            <w:tcBorders>
              <w:top w:val="single" w:color="CCCCCC" w:sz="1"/>
              <w:left w:val="single" w:color="CCCCCC" w:sz="1"/>
              <w:bottom w:val="single" w:color="CCCCCC" w:sz="1"/>
              <w:right w:val="single" w:color="CCCCCC" w:sz="1"/>
            </w:tcBorders>
          </w:tcPr>
          <w:p/>
        </w:tc>
        <w:tc>
          <w:tcPr>
            <w:tcW w:type="dxa" w:w="14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b/>
                <w:bCs/>
                <w:sz w:val="20"/>
                <w:szCs w:val="20"/>
              </w:rPr>
              <w:t xml:space="preserve">Outcome</w:t>
            </w:r>
          </w:p>
        </w:tc>
        <w:tc>
          <w:tcPr>
            <w:tcW w:type="dxa" w:w="5760"/>
            <w:tcBorders>
              <w:top w:val="single" w:color="CCCCCC" w:sz="1"/>
              <w:left w:val="single" w:color="CCCCCC" w:sz="1"/>
              <w:bottom w:val="single" w:color="CCCCCC" w:sz="1"/>
              <w:right w:val="single" w:color="CCCCCC" w:sz="1"/>
            </w:tcBorders>
            <w:shd w:fill="D5E8F0" w:val="clear"/>
            <w:tcMar>
              <w:top w:type="dxa" w:w="100"/>
              <w:left w:type="dxa" w:w="140"/>
              <w:bottom w:type="dxa" w:w="100"/>
              <w:right w:type="dxa" w:w="140"/>
            </w:tcMar>
          </w:tcPr>
          <w:p>
            <w:r>
              <w:rPr>
                <w:rFonts w:ascii="Arial" w:cs="Arial" w:eastAsia="Arial" w:hAnsi="Arial"/>
                <w:sz w:val="20"/>
                <w:szCs w:val="20"/>
              </w:rPr>
              <w:t xml:space="preserve">A complete remote-monitoring and maintenance-management demonstration.</w:t>
            </w:r>
          </w:p>
        </w:tc>
      </w:tr>
    </w:tbl>
    <w:p>
      <w:pPr>
        <w:pBdr>
          <w:bottom w:val="single" w:color="1F3864" w:sz="6" w:space="1"/>
        </w:pBdr>
        <w:spacing w:after="120" w:before="320"/>
      </w:pPr>
      <w:r>
        <w:rPr>
          <w:rFonts w:ascii="Arial" w:cs="Arial" w:eastAsia="Arial" w:hAnsi="Arial"/>
          <w:b/>
          <w:bCs/>
          <w:color w:val="1F3864"/>
          <w:sz w:val="24"/>
          <w:szCs w:val="24"/>
        </w:rPr>
        <w:t xml:space="preserve">4.  Post-Demo Subscription Strategy</w:t>
      </w:r>
    </w:p>
    <w:p>
      <w:pPr>
        <w:spacing w:after="80" w:before="80"/>
      </w:pPr>
      <w:r>
        <w:rPr>
          <w:rFonts w:ascii="Arial" w:cs="Arial" w:eastAsia="Arial" w:hAnsi="Arial"/>
          <w:sz w:val="20"/>
          <w:szCs w:val="20"/>
        </w:rPr>
        <w:t xml:space="preserve">After completing Phase 5 (and optionally Phase 6), two options are available:</w:t>
      </w:r>
    </w:p>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gridSpan w:val="1"/>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r>
              <w:rPr>
                <w:rFonts w:ascii="Arial" w:cs="Arial" w:eastAsia="Arial" w:hAnsi="Arial"/>
                <w:b/>
                <w:bCs/>
                <w:color w:val="FFFFFF"/>
                <w:sz w:val="20"/>
                <w:szCs w:val="20"/>
              </w:rPr>
              <w:t xml:space="preserve">Option</w:t>
            </w:r>
          </w:p>
        </w:tc>
        <w:tc>
          <w:tcPr>
            <w:tcW w:type="dxa" w:w="7360"/>
            <w:gridSpan w:val="1"/>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r>
              <w:rPr>
                <w:rFonts w:ascii="Arial" w:cs="Arial" w:eastAsia="Arial" w:hAnsi="Arial"/>
                <w:b/>
                <w:bCs/>
                <w:color w:val="FFFFFF"/>
                <w:sz w:val="20"/>
                <w:szCs w:val="20"/>
              </w:rPr>
              <w:t xml:space="preserve">Description</w:t>
            </w:r>
          </w:p>
        </w:tc>
      </w:tr>
      <w:tr>
        <w:tc>
          <w:tcPr>
            <w:tcW w:type="dxa" w:w="20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b/>
                <w:bCs/>
                <w:sz w:val="20"/>
                <w:szCs w:val="20"/>
              </w:rPr>
              <w:t xml:space="preserve">Option A — Downgrade to Essential or Free</w:t>
            </w:r>
          </w:p>
        </w:tc>
        <w:tc>
          <w:tcPr>
            <w:tcW w:type="dxa" w:w="7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All assets, work orders, and procedures remain intact. Automation is disabled but documentation is preserved. No data loss.</w:t>
            </w:r>
          </w:p>
        </w:tc>
      </w:tr>
      <w:tr>
        <w:tc>
          <w:tcPr>
            <w:tcW w:type="dxa" w:w="2000"/>
            <w:tcBorders>
              <w:top w:val="single" w:color="CCCCCC" w:sz="1"/>
              <w:left w:val="single" w:color="CCCCCC" w:sz="1"/>
              <w:bottom w:val="single" w:color="CCCCCC" w:sz="1"/>
              <w:right w:val="single" w:color="CCCCCC" w:sz="1"/>
            </w:tcBorders>
            <w:shd w:fill="D5E8F0" w:val="clear"/>
            <w:tcMar>
              <w:top w:type="dxa" w:w="100"/>
              <w:left w:type="dxa" w:w="140"/>
              <w:bottom w:type="dxa" w:w="100"/>
              <w:right w:type="dxa" w:w="140"/>
            </w:tcMar>
          </w:tcPr>
          <w:p>
            <w:r>
              <w:rPr>
                <w:rFonts w:ascii="Arial" w:cs="Arial" w:eastAsia="Arial" w:hAnsi="Arial"/>
                <w:b/>
                <w:bCs/>
                <w:sz w:val="20"/>
                <w:szCs w:val="20"/>
              </w:rPr>
              <w:t xml:space="preserve">Option B — Maintain Premium</w:t>
            </w:r>
          </w:p>
        </w:tc>
        <w:tc>
          <w:tcPr>
            <w:tcW w:type="dxa" w:w="7360"/>
            <w:tcBorders>
              <w:top w:val="single" w:color="CCCCCC" w:sz="1"/>
              <w:left w:val="single" w:color="CCCCCC" w:sz="1"/>
              <w:bottom w:val="single" w:color="CCCCCC" w:sz="1"/>
              <w:right w:val="single" w:color="CCCCCC" w:sz="1"/>
            </w:tcBorders>
            <w:shd w:fill="D5E8F0" w:val="clear"/>
            <w:tcMar>
              <w:top w:type="dxa" w:w="100"/>
              <w:left w:type="dxa" w:w="140"/>
              <w:bottom w:type="dxa" w:w="100"/>
              <w:right w:type="dxa" w:w="140"/>
            </w:tcMar>
          </w:tcPr>
          <w:p>
            <w:r>
              <w:rPr>
                <w:rFonts w:ascii="Arial" w:cs="Arial" w:eastAsia="Arial" w:hAnsi="Arial"/>
                <w:sz w:val="20"/>
                <w:szCs w:val="20"/>
              </w:rPr>
              <w:t xml:space="preserve">Keep automated workflows active. Continue building advanced demos. Maintain Copilot integration.</w:t>
            </w:r>
          </w:p>
        </w:tc>
      </w:tr>
    </w:tbl>
    <w:p>
      <w:pPr>
        <w:pBdr>
          <w:bottom w:val="single" w:color="1F3864" w:sz="6" w:space="1"/>
        </w:pBdr>
        <w:spacing w:after="120" w:before="320"/>
      </w:pPr>
      <w:r>
        <w:rPr>
          <w:rFonts w:ascii="Arial" w:cs="Arial" w:eastAsia="Arial" w:hAnsi="Arial"/>
          <w:b/>
          <w:bCs/>
          <w:color w:val="1F3864"/>
          <w:sz w:val="24"/>
          <w:szCs w:val="24"/>
        </w:rPr>
        <w:t xml:space="preserve">5.  Summary</w:t>
      </w:r>
    </w:p>
    <w:p>
      <w:pPr>
        <w:spacing w:after="80" w:before="80"/>
      </w:pPr>
      <w:r>
        <w:rPr>
          <w:rFonts w:ascii="Arial" w:cs="Arial" w:eastAsia="Arial" w:hAnsi="Arial"/>
          <w:sz w:val="20"/>
          <w:szCs w:val="20"/>
        </w:rPr>
        <w:t xml:space="preserve">This MaintainX rollout strategy provides a realistic, cost-effective, and professionally structured CMMS deployment aligned with the phased development of the 42U Multi-Platform Training Rack. By leveraging lower tiers during foundational phases and upgrading only when automation is required, the project demonstrates both technical capability and practical budget awareness — a combination directly applicable to real industrial modernization projects.</w:t>
      </w:r>
    </w:p>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9360"/>
            <w:gridSpan w:val="2"/>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r>
              <w:rPr>
                <w:rFonts w:ascii="Arial" w:cs="Arial" w:eastAsia="Arial" w:hAnsi="Arial"/>
                <w:b/>
                <w:bCs/>
                <w:color w:val="FFFFFF"/>
                <w:sz w:val="20"/>
                <w:szCs w:val="20"/>
              </w:rPr>
              <w:t xml:space="preserve">DOCUMENT INFORMATION</w:t>
            </w:r>
          </w:p>
        </w:tc>
      </w:tr>
      <w:tr>
        <w:tc>
          <w:tcPr>
            <w:tcW w:type="dxa" w:w="24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b/>
                <w:bCs/>
                <w:sz w:val="20"/>
                <w:szCs w:val="20"/>
              </w:rPr>
              <w:t xml:space="preserve">Document Title</w:t>
            </w:r>
          </w:p>
        </w:tc>
        <w:tc>
          <w:tcPr>
            <w:tcW w:type="dxa" w:w="69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CMMS Integration Strategy — MaintainX Implementation &amp; Upgrade Plan</w:t>
            </w:r>
          </w:p>
        </w:tc>
      </w:tr>
      <w:tr>
        <w:tc>
          <w:tcPr>
            <w:tcW w:type="dxa" w:w="24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b/>
                <w:bCs/>
                <w:sz w:val="20"/>
                <w:szCs w:val="20"/>
              </w:rPr>
              <w:t xml:space="preserve">Project</w:t>
            </w:r>
          </w:p>
        </w:tc>
        <w:tc>
          <w:tcPr>
            <w:tcW w:type="dxa" w:w="69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Loogootee Manufacturing Training Simulation</w:t>
            </w:r>
          </w:p>
        </w:tc>
      </w:tr>
      <w:tr>
        <w:tc>
          <w:tcPr>
            <w:tcW w:type="dxa" w:w="24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b/>
                <w:bCs/>
                <w:sz w:val="20"/>
                <w:szCs w:val="20"/>
              </w:rPr>
              <w:t xml:space="preserve">Prepared By</w:t>
            </w:r>
          </w:p>
        </w:tc>
        <w:tc>
          <w:tcPr>
            <w:tcW w:type="dxa" w:w="69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Jeremy Field — Senior Automation Technician</w:t>
            </w:r>
          </w:p>
        </w:tc>
      </w:tr>
      <w:tr>
        <w:tc>
          <w:tcPr>
            <w:tcW w:type="dxa" w:w="24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b/>
                <w:bCs/>
                <w:sz w:val="20"/>
                <w:szCs w:val="20"/>
              </w:rPr>
              <w:t xml:space="preserve">Date</w:t>
            </w:r>
          </w:p>
        </w:tc>
        <w:tc>
          <w:tcPr>
            <w:tcW w:type="dxa" w:w="69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April 2026</w:t>
            </w:r>
          </w:p>
        </w:tc>
      </w:tr>
      <w:tr>
        <w:tc>
          <w:tcPr>
            <w:tcW w:type="dxa" w:w="24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b/>
                <w:bCs/>
                <w:sz w:val="20"/>
                <w:szCs w:val="20"/>
              </w:rPr>
              <w:t xml:space="preserve">Status</w:t>
            </w:r>
          </w:p>
        </w:tc>
        <w:tc>
          <w:tcPr>
            <w:tcW w:type="dxa" w:w="69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Training Simulation — Not for Distribution</w:t>
            </w:r>
          </w:p>
        </w:tc>
      </w:tr>
      <w:tr>
        <w:tc>
          <w:tcPr>
            <w:tcW w:type="dxa" w:w="24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b/>
                <w:bCs/>
                <w:sz w:val="20"/>
                <w:szCs w:val="20"/>
              </w:rPr>
              <w:t xml:space="preserve">Repository</w:t>
            </w:r>
          </w:p>
        </w:tc>
        <w:tc>
          <w:tcPr>
            <w:tcW w:type="dxa" w:w="69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github.com/JeremySField/loogootee-mfg-training-simulation</w:t>
            </w:r>
          </w:p>
        </w:tc>
      </w:tr>
      <w:tr>
        <w:tc>
          <w:tcPr>
            <w:tcW w:type="dxa" w:w="24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b/>
                <w:bCs/>
                <w:sz w:val="20"/>
                <w:szCs w:val="20"/>
              </w:rPr>
              <w:t xml:space="preserve">Related Documents</w:t>
            </w:r>
          </w:p>
        </w:tc>
        <w:tc>
          <w:tcPr>
            <w:tcW w:type="dxa" w:w="69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Rack Phase Development Plan  /  IO-Link Pump Module Implementation Concept  /  IIoT Stack Architecture</w:t>
            </w:r>
          </w:p>
        </w:tc>
      </w:tr>
    </w:tbl>
    <w:p>
      <w:pPr>
        <w:spacing w:before="300"/>
        <w:jc w:val="center"/>
      </w:pPr>
      <w:r>
        <w:rPr>
          <w:rFonts w:ascii="Arial" w:cs="Arial" w:eastAsia="Arial" w:hAnsi="Arial"/>
          <w:i/>
          <w:iCs/>
          <w:color w:val="666666"/>
          <w:sz w:val="18"/>
          <w:szCs w:val="18"/>
        </w:rPr>
        <w:t xml:space="preserve">Loogootee Mfg., Inc.  ·  Training Simulation — Not for Distribution</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2026-04-15T04:59:08.521Z</dcterms:created>
  <dcterms:modified xsi:type="dcterms:W3CDTF">2026-04-15T04:59:08.521Z</dcterms:modified>
</cp:coreProperties>
</file>

<file path=docProps/custom.xml><?xml version="1.0" encoding="utf-8"?>
<Properties xmlns="http://schemas.openxmlformats.org/officeDocument/2006/custom-properties" xmlns:vt="http://schemas.openxmlformats.org/officeDocument/2006/docPropsVTypes"/>
</file>