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9CCC" w14:textId="77777777" w:rsidR="00083DBA" w:rsidRDefault="00000000">
      <w:pPr>
        <w:spacing w:before="480" w:after="100"/>
        <w:jc w:val="center"/>
      </w:pPr>
      <w:r>
        <w:rPr>
          <w:b/>
          <w:bCs/>
          <w:color w:val="157A6E"/>
          <w:sz w:val="56"/>
          <w:szCs w:val="56"/>
        </w:rPr>
        <w:t>Lippitt-Knoster Model</w:t>
      </w:r>
    </w:p>
    <w:p w14:paraId="2894321A" w14:textId="77777777" w:rsidR="00083DBA" w:rsidRDefault="00000000">
      <w:pPr>
        <w:spacing w:after="80"/>
        <w:jc w:val="center"/>
      </w:pPr>
      <w:r>
        <w:rPr>
          <w:color w:val="1A6E65"/>
          <w:sz w:val="36"/>
          <w:szCs w:val="36"/>
        </w:rPr>
        <w:t>for Managing Large-Scale Digital Transformation</w:t>
      </w:r>
    </w:p>
    <w:p w14:paraId="5852C9D0" w14:textId="77777777" w:rsidR="00083DBA" w:rsidRDefault="00000000">
      <w:pPr>
        <w:spacing w:after="240"/>
        <w:jc w:val="center"/>
      </w:pPr>
      <w:r>
        <w:rPr>
          <w:color w:val="555555"/>
          <w:sz w:val="26"/>
          <w:szCs w:val="26"/>
        </w:rPr>
        <w:t>Applied to IIoT Integration &amp; Brownfield Manufacturing Modernization</w:t>
      </w:r>
    </w:p>
    <w:p w14:paraId="7B151D81" w14:textId="77777777" w:rsidR="00083DBA" w:rsidRDefault="00083DBA">
      <w:pPr>
        <w:pBdr>
          <w:bottom w:val="single" w:sz="6" w:space="1" w:color="1A9E8F"/>
        </w:pBdr>
        <w:spacing w:before="120" w:after="120"/>
      </w:pPr>
    </w:p>
    <w:p w14:paraId="7419E21C" w14:textId="77777777" w:rsidR="00083DBA" w:rsidRDefault="00083DBA">
      <w:pPr>
        <w:spacing w:before="200"/>
      </w:pPr>
    </w:p>
    <w:p w14:paraId="20043CF1" w14:textId="77777777" w:rsidR="00083DBA" w:rsidRDefault="00000000">
      <w:pPr>
        <w:pStyle w:val="Heading1"/>
      </w:pPr>
      <w:r>
        <w:t>Overview</w:t>
      </w:r>
    </w:p>
    <w:p w14:paraId="5DA2AB43" w14:textId="77777777" w:rsidR="00083DBA" w:rsidRDefault="00000000">
      <w:pPr>
        <w:spacing w:before="80" w:after="80"/>
      </w:pPr>
      <w:r>
        <w:rPr>
          <w:color w:val="1A1A1A"/>
        </w:rPr>
        <w:t>The Lippitt-Knoster Model was developed by Mary Lippitt (1987) and extended by Timothy Knoster (1991) as a practical framework for understanding why large-scale organizational change efforts succeed or fail. The model identifies seven interdependent elements that must all be present for change to result in sustained success. When any single element is missing, the outcome is predictable — and predictably bad.</w:t>
      </w:r>
    </w:p>
    <w:p w14:paraId="44910EA5" w14:textId="77777777" w:rsidR="00083DBA" w:rsidRDefault="00083DBA">
      <w:pPr>
        <w:spacing w:before="80"/>
      </w:pPr>
    </w:p>
    <w:p w14:paraId="0BEB9999" w14:textId="77777777" w:rsidR="00083DBA" w:rsidRDefault="00000000">
      <w:pPr>
        <w:spacing w:before="80" w:after="80"/>
      </w:pPr>
      <w:r>
        <w:rPr>
          <w:color w:val="1A1A1A"/>
        </w:rPr>
        <w:t>Jeff Winter's adaptation reframes these elements specifically for digital transformation initiatives, renaming and recontextualizing them for the operational and strategic realities of industrial modernization. This document applies that adaptation to IIoT integration projects and brownfield manufacturing environments.</w:t>
      </w:r>
    </w:p>
    <w:p w14:paraId="68704B43" w14:textId="77777777" w:rsidR="00083DBA" w:rsidRDefault="00083DBA">
      <w:pPr>
        <w:spacing w:before="80"/>
      </w:pPr>
    </w:p>
    <w:p w14:paraId="37042A86" w14:textId="77777777" w:rsidR="00083DBA" w:rsidRDefault="00000000">
      <w:pPr>
        <w:spacing w:before="80" w:after="80"/>
      </w:pPr>
      <w:r>
        <w:rPr>
          <w:color w:val="1A1A1A"/>
        </w:rPr>
        <w:t>The model is not a sequential checklist. It is a simultaneous diagnostic — all seven elements must be actively present and maintained throughout the initiative. Weakness in any one area creates a specific failure mode that stalls or derails the project.</w:t>
      </w:r>
    </w:p>
    <w:p w14:paraId="35E020B6" w14:textId="77777777" w:rsidR="00083DBA" w:rsidRDefault="00083DBA">
      <w:pPr>
        <w:sectPr w:rsidR="00083DBA">
          <w:headerReference w:type="default" r:id="rId7"/>
          <w:footerReference w:type="default" r:id="rId8"/>
          <w:pgSz w:w="12240" w:h="15840"/>
          <w:pgMar w:top="1080" w:right="1080" w:bottom="1080" w:left="1080" w:header="708" w:footer="708" w:gutter="0"/>
          <w:cols w:space="720"/>
          <w:docGrid w:linePitch="360"/>
        </w:sectPr>
      </w:pPr>
    </w:p>
    <w:p w14:paraId="7253AB46" w14:textId="77777777" w:rsidR="00083DBA" w:rsidRDefault="00000000">
      <w:pPr>
        <w:pStyle w:val="Heading1"/>
      </w:pPr>
      <w:r>
        <w:lastRenderedPageBreak/>
        <w:t>The Framework at a Glance</w:t>
      </w:r>
    </w:p>
    <w:p w14:paraId="0EDE8F5F" w14:textId="77777777" w:rsidR="00083DBA" w:rsidRDefault="00000000">
      <w:pPr>
        <w:spacing w:before="80" w:after="180"/>
      </w:pPr>
      <w:r>
        <w:rPr>
          <w:color w:val="555555"/>
        </w:rPr>
        <w:t>Each row shows what happens when a single element is missing from an otherwise complete initiative.</w:t>
      </w:r>
    </w:p>
    <w:tbl>
      <w:tblPr>
        <w:tblW w:w="14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260"/>
        <w:gridCol w:w="1511"/>
        <w:gridCol w:w="260"/>
        <w:gridCol w:w="1511"/>
        <w:gridCol w:w="260"/>
        <w:gridCol w:w="1511"/>
        <w:gridCol w:w="260"/>
        <w:gridCol w:w="1511"/>
        <w:gridCol w:w="260"/>
        <w:gridCol w:w="1511"/>
        <w:gridCol w:w="260"/>
        <w:gridCol w:w="1511"/>
        <w:gridCol w:w="260"/>
        <w:gridCol w:w="2003"/>
      </w:tblGrid>
      <w:tr w:rsidR="00083DBA" w14:paraId="2475AB2A" w14:textId="77777777">
        <w:tc>
          <w:tcPr>
            <w:tcW w:w="14400" w:type="dxa"/>
            <w:gridSpan w:val="15"/>
            <w:tcBorders>
              <w:top w:val="none" w:sz="0" w:space="0" w:color="FFFFFF"/>
              <w:left w:val="none" w:sz="0" w:space="0" w:color="FFFFFF"/>
              <w:bottom w:val="none" w:sz="0" w:space="0" w:color="FFFFFF"/>
              <w:right w:val="none" w:sz="0" w:space="0" w:color="FFFFFF"/>
            </w:tcBorders>
          </w:tcPr>
          <w:p w14:paraId="0B2EFB91" w14:textId="77777777" w:rsidR="00083DBA" w:rsidRDefault="00000000">
            <w:pPr>
              <w:spacing w:after="140"/>
              <w:jc w:val="center"/>
            </w:pPr>
            <w:r>
              <w:rPr>
                <w:color w:val="1A1A1A"/>
                <w:sz w:val="28"/>
                <w:szCs w:val="28"/>
              </w:rPr>
              <w:t xml:space="preserve">Main Components of </w:t>
            </w:r>
            <w:r>
              <w:rPr>
                <w:b/>
                <w:bCs/>
                <w:color w:val="1A1A1A"/>
                <w:sz w:val="28"/>
                <w:szCs w:val="28"/>
              </w:rPr>
              <w:t>Successful Digital Transformation Initiatives</w:t>
            </w:r>
          </w:p>
        </w:tc>
      </w:tr>
      <w:tr w:rsidR="00083DBA" w14:paraId="373836A3"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51343AA8"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BBB150C"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33235B48"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E719E8A"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17DBF59E"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C6A6E03"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4A0B4B19"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E4CC80A"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52A2E5D3"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4E57A059"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12AF683A"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E3E3024"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62C9C252"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7130BDB2"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1A9E8F"/>
            <w:tcMar>
              <w:top w:w="80" w:type="dxa"/>
              <w:left w:w="100" w:type="dxa"/>
              <w:bottom w:w="80" w:type="dxa"/>
              <w:right w:w="100" w:type="dxa"/>
            </w:tcMar>
            <w:vAlign w:val="center"/>
          </w:tcPr>
          <w:p w14:paraId="75EA43CE" w14:textId="77777777" w:rsidR="00083DBA" w:rsidRDefault="00000000">
            <w:pPr>
              <w:jc w:val="center"/>
            </w:pPr>
            <w:r>
              <w:rPr>
                <w:b/>
                <w:bCs/>
                <w:color w:val="FFFFFF"/>
                <w:sz w:val="20"/>
                <w:szCs w:val="20"/>
              </w:rPr>
              <w:t>Success</w:t>
            </w:r>
          </w:p>
        </w:tc>
      </w:tr>
      <w:tr w:rsidR="00083DBA" w14:paraId="26888BB9" w14:textId="77777777">
        <w:tc>
          <w:tcPr>
            <w:tcW w:w="14400" w:type="dxa"/>
            <w:gridSpan w:val="15"/>
            <w:tcBorders>
              <w:top w:val="none" w:sz="0" w:space="0" w:color="FFFFFF"/>
              <w:left w:val="none" w:sz="0" w:space="0" w:color="FFFFFF"/>
              <w:bottom w:val="none" w:sz="0" w:space="0" w:color="FFFFFF"/>
              <w:right w:val="none" w:sz="0" w:space="0" w:color="FFFFFF"/>
            </w:tcBorders>
          </w:tcPr>
          <w:p w14:paraId="0294EE59" w14:textId="77777777" w:rsidR="00083DBA" w:rsidRDefault="00083DBA">
            <w:pPr>
              <w:spacing w:before="50"/>
            </w:pPr>
          </w:p>
        </w:tc>
      </w:tr>
      <w:tr w:rsidR="00083DBA" w14:paraId="3BBA14BC" w14:textId="77777777">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5F65054F" w14:textId="77777777" w:rsidR="00083DBA" w:rsidRDefault="00000000">
            <w:pPr>
              <w:jc w:val="center"/>
            </w:pPr>
            <w:proofErr w:type="gramStart"/>
            <w:r>
              <w:rPr>
                <w:b/>
                <w:bCs/>
                <w:color w:val="FFFFFF"/>
                <w:sz w:val="19"/>
                <w:szCs w:val="19"/>
              </w:rPr>
              <w:t>Vision</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41899505"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5626BB2E"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6E7AFCD"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21500804"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650524E"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22722D70"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145F6E2"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441D03BC"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8250FA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30D630AB"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415D009"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73DAC0C8"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A22BEDB"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12009753" w14:textId="77777777" w:rsidR="00083DBA" w:rsidRDefault="00000000">
            <w:pPr>
              <w:jc w:val="center"/>
            </w:pPr>
            <w:r>
              <w:rPr>
                <w:b/>
                <w:bCs/>
                <w:color w:val="FFFFFF"/>
                <w:sz w:val="20"/>
                <w:szCs w:val="20"/>
              </w:rPr>
              <w:t>Aimless Efforts</w:t>
            </w:r>
          </w:p>
        </w:tc>
      </w:tr>
      <w:tr w:rsidR="00083DBA" w14:paraId="3E1D5C08" w14:textId="77777777">
        <w:tc>
          <w:tcPr>
            <w:tcW w:w="14400" w:type="dxa"/>
            <w:gridSpan w:val="15"/>
            <w:tcBorders>
              <w:top w:val="none" w:sz="0" w:space="0" w:color="FFFFFF"/>
              <w:left w:val="none" w:sz="0" w:space="0" w:color="FFFFFF"/>
              <w:bottom w:val="none" w:sz="0" w:space="0" w:color="FFFFFF"/>
              <w:right w:val="none" w:sz="0" w:space="0" w:color="FFFFFF"/>
            </w:tcBorders>
          </w:tcPr>
          <w:p w14:paraId="6CBA3202" w14:textId="77777777" w:rsidR="00083DBA" w:rsidRDefault="00083DBA">
            <w:pPr>
              <w:spacing w:before="50"/>
            </w:pPr>
          </w:p>
        </w:tc>
      </w:tr>
      <w:tr w:rsidR="00083DBA" w14:paraId="29D34A13"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07606891"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89824FF"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1FD00575" w14:textId="77777777" w:rsidR="00083DBA" w:rsidRDefault="00000000">
            <w:pPr>
              <w:jc w:val="center"/>
            </w:pPr>
            <w:proofErr w:type="gramStart"/>
            <w:r>
              <w:rPr>
                <w:b/>
                <w:bCs/>
                <w:color w:val="FFFFFF"/>
                <w:sz w:val="19"/>
                <w:szCs w:val="19"/>
              </w:rPr>
              <w:t>Strategy</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A6E2389"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3E5603EE"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4E18E0B"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5C12E189"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B631EAF"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049CF838"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4EB2B40"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1CE704DA"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5B1E76D"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75081E54"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38085A2"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04938148" w14:textId="77777777" w:rsidR="00083DBA" w:rsidRDefault="00000000">
            <w:pPr>
              <w:jc w:val="center"/>
            </w:pPr>
            <w:r>
              <w:rPr>
                <w:b/>
                <w:bCs/>
                <w:color w:val="FFFFFF"/>
                <w:sz w:val="20"/>
                <w:szCs w:val="20"/>
              </w:rPr>
              <w:t>Haphazard</w:t>
            </w:r>
            <w:r>
              <w:br/>
            </w:r>
            <w:r>
              <w:rPr>
                <w:b/>
                <w:bCs/>
                <w:color w:val="FFFFFF"/>
                <w:sz w:val="20"/>
                <w:szCs w:val="20"/>
              </w:rPr>
              <w:t>Implementation</w:t>
            </w:r>
          </w:p>
        </w:tc>
      </w:tr>
      <w:tr w:rsidR="00083DBA" w14:paraId="4CC4E63B" w14:textId="77777777">
        <w:tc>
          <w:tcPr>
            <w:tcW w:w="14400" w:type="dxa"/>
            <w:gridSpan w:val="15"/>
            <w:tcBorders>
              <w:top w:val="none" w:sz="0" w:space="0" w:color="FFFFFF"/>
              <w:left w:val="none" w:sz="0" w:space="0" w:color="FFFFFF"/>
              <w:bottom w:val="none" w:sz="0" w:space="0" w:color="FFFFFF"/>
              <w:right w:val="none" w:sz="0" w:space="0" w:color="FFFFFF"/>
            </w:tcBorders>
          </w:tcPr>
          <w:p w14:paraId="29CD871B" w14:textId="77777777" w:rsidR="00083DBA" w:rsidRDefault="00083DBA">
            <w:pPr>
              <w:spacing w:before="50"/>
            </w:pPr>
          </w:p>
        </w:tc>
      </w:tr>
      <w:tr w:rsidR="00083DBA" w14:paraId="13C1B63B"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38C153F4"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BBE8E68"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086A12A9"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85AA001"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77B9328F" w14:textId="77777777" w:rsidR="00083DBA" w:rsidRDefault="00000000">
            <w:pPr>
              <w:jc w:val="center"/>
            </w:pPr>
            <w:proofErr w:type="gramStart"/>
            <w:r>
              <w:rPr>
                <w:b/>
                <w:bCs/>
                <w:color w:val="FFFFFF"/>
                <w:sz w:val="19"/>
                <w:szCs w:val="19"/>
              </w:rPr>
              <w:t>Objectives</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6D57CE1"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172490FE"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70DB1E29"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21210C73"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BE74D81"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43950A68"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47BD08A1"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3A00E1F4"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4EE922D5"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60EA335F" w14:textId="77777777" w:rsidR="00083DBA" w:rsidRDefault="00000000">
            <w:pPr>
              <w:jc w:val="center"/>
            </w:pPr>
            <w:r>
              <w:rPr>
                <w:b/>
                <w:bCs/>
                <w:color w:val="FFFFFF"/>
                <w:sz w:val="20"/>
                <w:szCs w:val="20"/>
              </w:rPr>
              <w:t>Ambiguous</w:t>
            </w:r>
            <w:r>
              <w:br/>
            </w:r>
            <w:r>
              <w:rPr>
                <w:b/>
                <w:bCs/>
                <w:color w:val="FFFFFF"/>
                <w:sz w:val="20"/>
                <w:szCs w:val="20"/>
              </w:rPr>
              <w:t>Outcomes</w:t>
            </w:r>
          </w:p>
        </w:tc>
      </w:tr>
      <w:tr w:rsidR="00083DBA" w14:paraId="757BDE3C" w14:textId="77777777">
        <w:tc>
          <w:tcPr>
            <w:tcW w:w="14400" w:type="dxa"/>
            <w:gridSpan w:val="15"/>
            <w:tcBorders>
              <w:top w:val="none" w:sz="0" w:space="0" w:color="FFFFFF"/>
              <w:left w:val="none" w:sz="0" w:space="0" w:color="FFFFFF"/>
              <w:bottom w:val="none" w:sz="0" w:space="0" w:color="FFFFFF"/>
              <w:right w:val="none" w:sz="0" w:space="0" w:color="FFFFFF"/>
            </w:tcBorders>
          </w:tcPr>
          <w:p w14:paraId="0978AC6F" w14:textId="77777777" w:rsidR="00083DBA" w:rsidRDefault="00083DBA">
            <w:pPr>
              <w:spacing w:before="50"/>
            </w:pPr>
          </w:p>
        </w:tc>
      </w:tr>
      <w:tr w:rsidR="00083DBA" w14:paraId="714CAEBF"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2C09A1AE"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88C49AF"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08F37E44"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03FB952"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27B51E43"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A56AEE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1A80D5D9" w14:textId="77777777" w:rsidR="00083DBA" w:rsidRDefault="00000000">
            <w:pPr>
              <w:jc w:val="center"/>
            </w:pPr>
            <w:proofErr w:type="gramStart"/>
            <w:r>
              <w:rPr>
                <w:b/>
                <w:bCs/>
                <w:color w:val="FFFFFF"/>
                <w:sz w:val="19"/>
                <w:szCs w:val="19"/>
              </w:rPr>
              <w:t>Capabilities</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B9897F5"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080A7FB4"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5D1CCDF"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2CAD4E7F"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FA91C8E"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65B932D3"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CDFAE2F"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7C29F944" w14:textId="77777777" w:rsidR="00083DBA" w:rsidRDefault="00000000">
            <w:pPr>
              <w:jc w:val="center"/>
            </w:pPr>
            <w:r>
              <w:rPr>
                <w:b/>
                <w:bCs/>
                <w:color w:val="FFFFFF"/>
                <w:sz w:val="20"/>
                <w:szCs w:val="20"/>
              </w:rPr>
              <w:t>Underdeveloped</w:t>
            </w:r>
            <w:r>
              <w:br/>
            </w:r>
            <w:r>
              <w:rPr>
                <w:b/>
                <w:bCs/>
                <w:color w:val="FFFFFF"/>
                <w:sz w:val="20"/>
                <w:szCs w:val="20"/>
              </w:rPr>
              <w:t>Execution</w:t>
            </w:r>
          </w:p>
        </w:tc>
      </w:tr>
      <w:tr w:rsidR="00083DBA" w14:paraId="060EC714" w14:textId="77777777">
        <w:tc>
          <w:tcPr>
            <w:tcW w:w="14400" w:type="dxa"/>
            <w:gridSpan w:val="15"/>
            <w:tcBorders>
              <w:top w:val="none" w:sz="0" w:space="0" w:color="FFFFFF"/>
              <w:left w:val="none" w:sz="0" w:space="0" w:color="FFFFFF"/>
              <w:bottom w:val="none" w:sz="0" w:space="0" w:color="FFFFFF"/>
              <w:right w:val="none" w:sz="0" w:space="0" w:color="FFFFFF"/>
            </w:tcBorders>
          </w:tcPr>
          <w:p w14:paraId="25D8B7C5" w14:textId="77777777" w:rsidR="00083DBA" w:rsidRDefault="00083DBA">
            <w:pPr>
              <w:spacing w:before="50"/>
            </w:pPr>
          </w:p>
        </w:tc>
      </w:tr>
      <w:tr w:rsidR="00083DBA" w14:paraId="36A4AE75"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7FF7FAD1"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75E18BD"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1FE7EB65"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F3E484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33678351"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52584C2"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2B62C126"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6988AE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251566F5" w14:textId="77777777" w:rsidR="00083DBA" w:rsidRDefault="00000000">
            <w:pPr>
              <w:jc w:val="center"/>
            </w:pPr>
            <w:proofErr w:type="gramStart"/>
            <w:r>
              <w:rPr>
                <w:b/>
                <w:bCs/>
                <w:color w:val="FFFFFF"/>
                <w:sz w:val="19"/>
                <w:szCs w:val="19"/>
              </w:rPr>
              <w:t>Architecture</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411B90D5"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59900E53"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068262EB"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53197FE7"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44C930B"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58B1C378" w14:textId="77777777" w:rsidR="00083DBA" w:rsidRDefault="00000000">
            <w:pPr>
              <w:jc w:val="center"/>
            </w:pPr>
            <w:r>
              <w:rPr>
                <w:b/>
                <w:bCs/>
                <w:color w:val="FFFFFF"/>
                <w:sz w:val="20"/>
                <w:szCs w:val="20"/>
              </w:rPr>
              <w:t>Fragmented</w:t>
            </w:r>
            <w:r>
              <w:br/>
            </w:r>
            <w:r>
              <w:rPr>
                <w:b/>
                <w:bCs/>
                <w:color w:val="FFFFFF"/>
                <w:sz w:val="20"/>
                <w:szCs w:val="20"/>
              </w:rPr>
              <w:t>Systems</w:t>
            </w:r>
          </w:p>
        </w:tc>
      </w:tr>
      <w:tr w:rsidR="00083DBA" w14:paraId="43AC0E13" w14:textId="77777777">
        <w:tc>
          <w:tcPr>
            <w:tcW w:w="14400" w:type="dxa"/>
            <w:gridSpan w:val="15"/>
            <w:tcBorders>
              <w:top w:val="none" w:sz="0" w:space="0" w:color="FFFFFF"/>
              <w:left w:val="none" w:sz="0" w:space="0" w:color="FFFFFF"/>
              <w:bottom w:val="none" w:sz="0" w:space="0" w:color="FFFFFF"/>
              <w:right w:val="none" w:sz="0" w:space="0" w:color="FFFFFF"/>
            </w:tcBorders>
          </w:tcPr>
          <w:p w14:paraId="66C58C81" w14:textId="77777777" w:rsidR="00083DBA" w:rsidRDefault="00083DBA">
            <w:pPr>
              <w:spacing w:before="50"/>
            </w:pPr>
          </w:p>
        </w:tc>
      </w:tr>
      <w:tr w:rsidR="00083DBA" w14:paraId="6731B26A"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3AA4C73E"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E7C7548"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67AC2A3D"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2DD5341"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0FCFD070"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327C1AC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5E1BFFB6"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732DC487"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3DD95FF6"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7433004"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4795E684" w14:textId="77777777" w:rsidR="00083DBA" w:rsidRDefault="00000000">
            <w:pPr>
              <w:jc w:val="center"/>
            </w:pPr>
            <w:proofErr w:type="gramStart"/>
            <w:r>
              <w:rPr>
                <w:b/>
                <w:bCs/>
                <w:color w:val="FFFFFF"/>
                <w:sz w:val="19"/>
                <w:szCs w:val="19"/>
              </w:rPr>
              <w:t>Roadmap</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5CB9205B"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0D0D0"/>
            <w:tcMar>
              <w:top w:w="80" w:type="dxa"/>
              <w:left w:w="70" w:type="dxa"/>
              <w:bottom w:w="80" w:type="dxa"/>
              <w:right w:w="70" w:type="dxa"/>
            </w:tcMar>
            <w:vAlign w:val="center"/>
          </w:tcPr>
          <w:p w14:paraId="451B2B0F" w14:textId="77777777" w:rsidR="00083DBA" w:rsidRDefault="00000000">
            <w:pPr>
              <w:jc w:val="center"/>
            </w:pPr>
            <w:r>
              <w:rPr>
                <w:b/>
                <w:bCs/>
                <w:color w:val="1A1A1A"/>
                <w:sz w:val="19"/>
                <w:szCs w:val="19"/>
              </w:rPr>
              <w:t>Projects &amp;</w:t>
            </w:r>
            <w:r>
              <w:br/>
            </w:r>
            <w:r>
              <w:rPr>
                <w:b/>
                <w:bCs/>
                <w:color w:val="1A1A1A"/>
                <w:sz w:val="19"/>
                <w:szCs w:val="19"/>
              </w:rPr>
              <w:t>Programs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3E4FBCC9"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140A38CC" w14:textId="77777777" w:rsidR="00083DBA" w:rsidRDefault="00000000">
            <w:pPr>
              <w:jc w:val="center"/>
            </w:pPr>
            <w:r>
              <w:rPr>
                <w:b/>
                <w:bCs/>
                <w:color w:val="FFFFFF"/>
                <w:sz w:val="20"/>
                <w:szCs w:val="20"/>
              </w:rPr>
              <w:t>Pilot Purgatory</w:t>
            </w:r>
          </w:p>
        </w:tc>
      </w:tr>
      <w:tr w:rsidR="00083DBA" w14:paraId="3E820341" w14:textId="77777777">
        <w:tc>
          <w:tcPr>
            <w:tcW w:w="14400" w:type="dxa"/>
            <w:gridSpan w:val="15"/>
            <w:tcBorders>
              <w:top w:val="none" w:sz="0" w:space="0" w:color="FFFFFF"/>
              <w:left w:val="none" w:sz="0" w:space="0" w:color="FFFFFF"/>
              <w:bottom w:val="none" w:sz="0" w:space="0" w:color="FFFFFF"/>
              <w:right w:val="none" w:sz="0" w:space="0" w:color="FFFFFF"/>
            </w:tcBorders>
          </w:tcPr>
          <w:p w14:paraId="78967135" w14:textId="77777777" w:rsidR="00083DBA" w:rsidRDefault="00083DBA">
            <w:pPr>
              <w:spacing w:before="50"/>
            </w:pPr>
          </w:p>
        </w:tc>
      </w:tr>
      <w:tr w:rsidR="00083DBA" w14:paraId="35980E5E" w14:textId="77777777">
        <w:tc>
          <w:tcPr>
            <w:tcW w:w="1511" w:type="dxa"/>
            <w:tcBorders>
              <w:top w:val="none" w:sz="0" w:space="0" w:color="FFFFFF"/>
              <w:left w:val="none" w:sz="0" w:space="0" w:color="FFFFFF"/>
              <w:bottom w:val="none" w:sz="0" w:space="0" w:color="FFFFFF"/>
              <w:right w:val="none" w:sz="0" w:space="0" w:color="FFFFFF"/>
            </w:tcBorders>
            <w:shd w:val="clear" w:color="auto" w:fill="B8C4D0"/>
            <w:tcMar>
              <w:top w:w="80" w:type="dxa"/>
              <w:left w:w="70" w:type="dxa"/>
              <w:bottom w:w="80" w:type="dxa"/>
              <w:right w:w="70" w:type="dxa"/>
            </w:tcMar>
            <w:vAlign w:val="center"/>
          </w:tcPr>
          <w:p w14:paraId="1CC397FA" w14:textId="77777777" w:rsidR="00083DBA" w:rsidRDefault="00000000">
            <w:pPr>
              <w:jc w:val="center"/>
            </w:pPr>
            <w:r>
              <w:rPr>
                <w:b/>
                <w:bCs/>
                <w:color w:val="1A1A1A"/>
                <w:sz w:val="19"/>
                <w:szCs w:val="19"/>
              </w:rPr>
              <w:t>Vision</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6AA109D"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5D0DC"/>
            <w:tcMar>
              <w:top w:w="80" w:type="dxa"/>
              <w:left w:w="70" w:type="dxa"/>
              <w:bottom w:w="80" w:type="dxa"/>
              <w:right w:w="70" w:type="dxa"/>
            </w:tcMar>
            <w:vAlign w:val="center"/>
          </w:tcPr>
          <w:p w14:paraId="154C12C2" w14:textId="77777777" w:rsidR="00083DBA" w:rsidRDefault="00000000">
            <w:pPr>
              <w:jc w:val="center"/>
            </w:pPr>
            <w:r>
              <w:rPr>
                <w:b/>
                <w:bCs/>
                <w:color w:val="1A1A1A"/>
                <w:sz w:val="19"/>
                <w:szCs w:val="19"/>
              </w:rPr>
              <w:t>Strategy</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278470A"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D8C8"/>
            <w:tcMar>
              <w:top w:w="80" w:type="dxa"/>
              <w:left w:w="70" w:type="dxa"/>
              <w:bottom w:w="80" w:type="dxa"/>
              <w:right w:w="70" w:type="dxa"/>
            </w:tcMar>
            <w:vAlign w:val="center"/>
          </w:tcPr>
          <w:p w14:paraId="7B4A04B3" w14:textId="77777777" w:rsidR="00083DBA" w:rsidRDefault="00000000">
            <w:pPr>
              <w:jc w:val="center"/>
            </w:pPr>
            <w:r>
              <w:rPr>
                <w:b/>
                <w:bCs/>
                <w:color w:val="1A1A1A"/>
                <w:sz w:val="19"/>
                <w:szCs w:val="19"/>
              </w:rPr>
              <w:t>Objectives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61A33E76"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B8"/>
            <w:tcMar>
              <w:top w:w="80" w:type="dxa"/>
              <w:left w:w="70" w:type="dxa"/>
              <w:bottom w:w="80" w:type="dxa"/>
              <w:right w:w="70" w:type="dxa"/>
            </w:tcMar>
            <w:vAlign w:val="center"/>
          </w:tcPr>
          <w:p w14:paraId="4EA02363" w14:textId="77777777" w:rsidR="00083DBA" w:rsidRDefault="00000000">
            <w:pPr>
              <w:jc w:val="center"/>
            </w:pPr>
            <w:r>
              <w:rPr>
                <w:b/>
                <w:bCs/>
                <w:color w:val="1A1A1A"/>
                <w:sz w:val="19"/>
                <w:szCs w:val="19"/>
              </w:rPr>
              <w:t>Capabilities</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707A63BB"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C8C0D8"/>
            <w:tcMar>
              <w:top w:w="80" w:type="dxa"/>
              <w:left w:w="70" w:type="dxa"/>
              <w:bottom w:w="80" w:type="dxa"/>
              <w:right w:w="70" w:type="dxa"/>
            </w:tcMar>
            <w:vAlign w:val="center"/>
          </w:tcPr>
          <w:p w14:paraId="2250E3D0" w14:textId="77777777" w:rsidR="00083DBA" w:rsidRDefault="00000000">
            <w:pPr>
              <w:jc w:val="center"/>
            </w:pPr>
            <w:r>
              <w:rPr>
                <w:b/>
                <w:bCs/>
                <w:color w:val="1A1A1A"/>
                <w:sz w:val="19"/>
                <w:szCs w:val="19"/>
              </w:rPr>
              <w:t>Architecture</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1440652D"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D8C8C0"/>
            <w:tcMar>
              <w:top w:w="80" w:type="dxa"/>
              <w:left w:w="70" w:type="dxa"/>
              <w:bottom w:w="80" w:type="dxa"/>
              <w:right w:w="70" w:type="dxa"/>
            </w:tcMar>
            <w:vAlign w:val="center"/>
          </w:tcPr>
          <w:p w14:paraId="0576352F" w14:textId="77777777" w:rsidR="00083DBA" w:rsidRDefault="00000000">
            <w:pPr>
              <w:jc w:val="center"/>
            </w:pPr>
            <w:r>
              <w:rPr>
                <w:b/>
                <w:bCs/>
                <w:color w:val="1A1A1A"/>
                <w:sz w:val="19"/>
                <w:szCs w:val="19"/>
              </w:rPr>
              <w:t>Roadmap</w:t>
            </w:r>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22E30AA4" w14:textId="77777777" w:rsidR="00083DBA" w:rsidRDefault="00000000">
            <w:pPr>
              <w:jc w:val="center"/>
            </w:pPr>
            <w:r>
              <w:rPr>
                <w:b/>
                <w:bCs/>
                <w:color w:val="1A1A1A"/>
                <w:sz w:val="20"/>
                <w:szCs w:val="20"/>
              </w:rPr>
              <w:t>+</w:t>
            </w:r>
          </w:p>
        </w:tc>
        <w:tc>
          <w:tcPr>
            <w:tcW w:w="1511" w:type="dxa"/>
            <w:tcBorders>
              <w:top w:val="none" w:sz="0" w:space="0" w:color="FFFFFF"/>
              <w:left w:val="none" w:sz="0" w:space="0" w:color="FFFFFF"/>
              <w:bottom w:val="none" w:sz="0" w:space="0" w:color="FFFFFF"/>
              <w:right w:val="none" w:sz="0" w:space="0" w:color="FFFFFF"/>
            </w:tcBorders>
            <w:shd w:val="clear" w:color="auto" w:fill="3A3A3A"/>
            <w:tcMar>
              <w:top w:w="80" w:type="dxa"/>
              <w:left w:w="70" w:type="dxa"/>
              <w:bottom w:w="80" w:type="dxa"/>
              <w:right w:w="70" w:type="dxa"/>
            </w:tcMar>
            <w:vAlign w:val="center"/>
          </w:tcPr>
          <w:p w14:paraId="7B1C02C0" w14:textId="77777777" w:rsidR="00083DBA" w:rsidRDefault="00000000">
            <w:pPr>
              <w:jc w:val="center"/>
            </w:pPr>
            <w:r>
              <w:rPr>
                <w:b/>
                <w:bCs/>
                <w:color w:val="FFFFFF"/>
                <w:sz w:val="19"/>
                <w:szCs w:val="19"/>
              </w:rPr>
              <w:t>Projects &amp;</w:t>
            </w:r>
            <w:r>
              <w:br/>
            </w:r>
            <w:proofErr w:type="gramStart"/>
            <w:r>
              <w:rPr>
                <w:b/>
                <w:bCs/>
                <w:color w:val="FFFFFF"/>
                <w:sz w:val="19"/>
                <w:szCs w:val="19"/>
              </w:rPr>
              <w:t>Programs</w:t>
            </w:r>
            <w:r>
              <w:rPr>
                <w:b/>
                <w:bCs/>
                <w:color w:val="CC2222"/>
                <w:sz w:val="22"/>
                <w:szCs w:val="22"/>
              </w:rPr>
              <w:t xml:space="preserve">  ✕</w:t>
            </w:r>
            <w:proofErr w:type="gramEnd"/>
          </w:p>
        </w:tc>
        <w:tc>
          <w:tcPr>
            <w:tcW w:w="260" w:type="dxa"/>
            <w:tcBorders>
              <w:top w:val="none" w:sz="0" w:space="0" w:color="FFFFFF"/>
              <w:left w:val="none" w:sz="0" w:space="0" w:color="FFFFFF"/>
              <w:bottom w:val="none" w:sz="0" w:space="0" w:color="FFFFFF"/>
              <w:right w:val="none" w:sz="0" w:space="0" w:color="FFFFFF"/>
            </w:tcBorders>
            <w:tcMar>
              <w:top w:w="80" w:type="dxa"/>
              <w:left w:w="10" w:type="dxa"/>
              <w:bottom w:w="80" w:type="dxa"/>
              <w:right w:w="10" w:type="dxa"/>
            </w:tcMar>
            <w:vAlign w:val="center"/>
          </w:tcPr>
          <w:p w14:paraId="7CA28365" w14:textId="77777777" w:rsidR="00083DBA" w:rsidRDefault="00000000">
            <w:pPr>
              <w:jc w:val="center"/>
            </w:pPr>
            <w:r>
              <w:rPr>
                <w:b/>
                <w:bCs/>
                <w:color w:val="1A1A1A"/>
                <w:sz w:val="20"/>
                <w:szCs w:val="20"/>
              </w:rPr>
              <w:t>=</w:t>
            </w:r>
          </w:p>
        </w:tc>
        <w:tc>
          <w:tcPr>
            <w:tcW w:w="2003" w:type="dxa"/>
            <w:tcBorders>
              <w:top w:val="none" w:sz="0" w:space="0" w:color="FFFFFF"/>
              <w:left w:val="none" w:sz="0" w:space="0" w:color="FFFFFF"/>
              <w:bottom w:val="none" w:sz="0" w:space="0" w:color="FFFFFF"/>
              <w:right w:val="none" w:sz="0" w:space="0" w:color="FFFFFF"/>
            </w:tcBorders>
            <w:shd w:val="clear" w:color="auto" w:fill="808080"/>
            <w:tcMar>
              <w:top w:w="80" w:type="dxa"/>
              <w:left w:w="100" w:type="dxa"/>
              <w:bottom w:w="80" w:type="dxa"/>
              <w:right w:w="100" w:type="dxa"/>
            </w:tcMar>
            <w:vAlign w:val="center"/>
          </w:tcPr>
          <w:p w14:paraId="0197BF71" w14:textId="77777777" w:rsidR="00083DBA" w:rsidRDefault="00000000">
            <w:pPr>
              <w:jc w:val="center"/>
            </w:pPr>
            <w:r>
              <w:rPr>
                <w:b/>
                <w:bCs/>
                <w:color w:val="FFFFFF"/>
                <w:sz w:val="20"/>
                <w:szCs w:val="20"/>
              </w:rPr>
              <w:t>Stuck in Theory</w:t>
            </w:r>
          </w:p>
        </w:tc>
      </w:tr>
    </w:tbl>
    <w:p w14:paraId="256C0E75" w14:textId="77777777" w:rsidR="00083DBA" w:rsidRDefault="00000000">
      <w:pPr>
        <w:spacing w:before="100"/>
      </w:pPr>
      <w:r>
        <w:rPr>
          <w:color w:val="888888"/>
          <w:sz w:val="20"/>
          <w:szCs w:val="20"/>
        </w:rPr>
        <w:t xml:space="preserve">Adaptation of the Lippitt-Knoster Model for Managing Complex Change, 1987 (Knoster, </w:t>
      </w:r>
      <w:proofErr w:type="gramStart"/>
      <w:r>
        <w:rPr>
          <w:color w:val="888888"/>
          <w:sz w:val="20"/>
          <w:szCs w:val="20"/>
        </w:rPr>
        <w:t>1991) —</w:t>
      </w:r>
      <w:proofErr w:type="gramEnd"/>
      <w:r>
        <w:rPr>
          <w:color w:val="888888"/>
          <w:sz w:val="20"/>
          <w:szCs w:val="20"/>
        </w:rPr>
        <w:t xml:space="preserve"> Digital transformation framing: Jeff Winter.</w:t>
      </w:r>
    </w:p>
    <w:p w14:paraId="3D73696F" w14:textId="77777777" w:rsidR="00083DBA" w:rsidRDefault="00083DBA">
      <w:pPr>
        <w:sectPr w:rsidR="00083DBA">
          <w:headerReference w:type="default" r:id="rId9"/>
          <w:footerReference w:type="default" r:id="rId10"/>
          <w:pgSz w:w="15840" w:h="12240" w:orient="landscape"/>
          <w:pgMar w:top="720" w:right="720" w:bottom="720" w:left="720" w:header="708" w:footer="708" w:gutter="0"/>
          <w:cols w:space="720"/>
          <w:docGrid w:linePitch="360"/>
        </w:sectPr>
      </w:pPr>
    </w:p>
    <w:p w14:paraId="0FA09361" w14:textId="77777777" w:rsidR="00083DBA" w:rsidRDefault="00000000">
      <w:pPr>
        <w:pStyle w:val="Heading1"/>
      </w:pPr>
      <w:r>
        <w:lastRenderedPageBreak/>
        <w:t>The Seven Elements</w:t>
      </w:r>
    </w:p>
    <w:p w14:paraId="1E42B1BA" w14:textId="77777777" w:rsidR="00083DBA" w:rsidRDefault="00000000">
      <w:pPr>
        <w:spacing w:before="80" w:after="80"/>
      </w:pPr>
      <w:r>
        <w:rPr>
          <w:color w:val="1A1A1A"/>
        </w:rPr>
        <w:t>The following sections describe each element in depth: what it means in an IIoT or brownfield modernization context, what failure looks like when it is missing, and practical methods for building and sustaining it.</w:t>
      </w:r>
    </w:p>
    <w:p w14:paraId="7FA8FCF7" w14:textId="77777777" w:rsidR="00083DBA" w:rsidRDefault="00083DBA">
      <w:pPr>
        <w:spacing w:before="160"/>
      </w:pPr>
    </w:p>
    <w:tbl>
      <w:tblPr>
        <w:tblW w:w="10080" w:type="dxa"/>
        <w:tblBorders>
          <w:top w:val="single" w:sz="6" w:space="0" w:color="B8C4D0"/>
          <w:left w:val="single" w:sz="6" w:space="0" w:color="B8C4D0"/>
          <w:bottom w:val="single" w:sz="6" w:space="0" w:color="B8C4D0"/>
          <w:right w:val="single" w:sz="6" w:space="0" w:color="B8C4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780"/>
      </w:tblGrid>
      <w:tr w:rsidR="00083DBA" w14:paraId="044B37FF" w14:textId="77777777">
        <w:tc>
          <w:tcPr>
            <w:tcW w:w="1300" w:type="dxa"/>
            <w:tcBorders>
              <w:top w:val="none" w:sz="0" w:space="0" w:color="FFFFFF"/>
              <w:left w:val="none" w:sz="0" w:space="0" w:color="FFFFFF"/>
              <w:bottom w:val="none" w:sz="0" w:space="0" w:color="FFFFFF"/>
              <w:right w:val="none" w:sz="0" w:space="0" w:color="FFFFFF"/>
            </w:tcBorders>
            <w:shd w:val="clear" w:color="auto" w:fill="B8C4D0"/>
            <w:tcMar>
              <w:top w:w="160" w:type="dxa"/>
              <w:left w:w="120" w:type="dxa"/>
              <w:bottom w:w="160" w:type="dxa"/>
              <w:right w:w="120" w:type="dxa"/>
            </w:tcMar>
            <w:vAlign w:val="center"/>
          </w:tcPr>
          <w:p w14:paraId="10FD8C1D" w14:textId="77777777" w:rsidR="00083DBA" w:rsidRDefault="00000000">
            <w:pPr>
              <w:jc w:val="center"/>
            </w:pPr>
            <w:r>
              <w:rPr>
                <w:b/>
                <w:bCs/>
                <w:color w:val="1A1A1A"/>
                <w:sz w:val="26"/>
                <w:szCs w:val="26"/>
              </w:rPr>
              <w:t>Vision</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69F4FC17" w14:textId="77777777" w:rsidR="00083DBA" w:rsidRDefault="00000000">
            <w:pPr>
              <w:spacing w:before="120" w:after="60"/>
            </w:pPr>
            <w:r>
              <w:rPr>
                <w:b/>
                <w:bCs/>
                <w:color w:val="1A6E65"/>
                <w:sz w:val="26"/>
                <w:szCs w:val="26"/>
              </w:rPr>
              <w:t>What it is</w:t>
            </w:r>
          </w:p>
          <w:p w14:paraId="7677EA19" w14:textId="77777777" w:rsidR="00083DBA" w:rsidRDefault="00000000">
            <w:pPr>
              <w:spacing w:before="60" w:after="60"/>
            </w:pPr>
            <w:r>
              <w:rPr>
                <w:color w:val="1A1A1A"/>
              </w:rPr>
              <w:t>Vision is the shared, compelling picture of why the transformation is happening and what success looks like from every stakeholder's perspective. It answers: Where are we going, and why does it matter? In an IIoT context, vision is not a technology roadmap — it is a statement of operational and business outcomes. 'We will have real-time visibility into every production line, enabling predictive maintenance and eliminating unplanned downtime' is a vision. 'We are deploying MQTT and a SCADA upgrade' is not.</w:t>
            </w:r>
          </w:p>
          <w:p w14:paraId="715CC8ED" w14:textId="77777777" w:rsidR="00083DBA" w:rsidRDefault="00000000">
            <w:pPr>
              <w:spacing w:before="120" w:after="60"/>
            </w:pPr>
            <w:r>
              <w:rPr>
                <w:b/>
                <w:bCs/>
                <w:color w:val="CC4444"/>
                <w:sz w:val="26"/>
                <w:szCs w:val="26"/>
              </w:rPr>
              <w:t>Without it: Aimless Efforts</w:t>
            </w:r>
          </w:p>
          <w:p w14:paraId="0F951214" w14:textId="77777777" w:rsidR="00083DBA" w:rsidRDefault="00000000">
            <w:pPr>
              <w:spacing w:before="60" w:after="60"/>
            </w:pPr>
            <w:r>
              <w:rPr>
                <w:color w:val="1A1A1A"/>
              </w:rPr>
              <w:t>Teams work hard but in divergent directions. Individual projects are completed but don't connect. Nobody can explain what done looks like. Engineers instrument one line; IT deploys a historian that doesn't connect to it. Capital is spent and nothing changes operationally.</w:t>
            </w:r>
          </w:p>
          <w:p w14:paraId="64E344FB" w14:textId="77777777" w:rsidR="00083DBA" w:rsidRDefault="00000000">
            <w:pPr>
              <w:spacing w:before="120" w:after="60"/>
            </w:pPr>
            <w:r>
              <w:rPr>
                <w:b/>
                <w:bCs/>
                <w:color w:val="1A6E65"/>
                <w:sz w:val="26"/>
                <w:szCs w:val="26"/>
              </w:rPr>
              <w:t>Methods</w:t>
            </w:r>
          </w:p>
          <w:p w14:paraId="7DDA4877" w14:textId="77777777" w:rsidR="00083DBA" w:rsidRDefault="00000000">
            <w:pPr>
              <w:pStyle w:val="ListParagraph"/>
              <w:numPr>
                <w:ilvl w:val="0"/>
                <w:numId w:val="2"/>
              </w:numPr>
              <w:spacing w:before="60" w:after="60"/>
            </w:pPr>
            <w:r>
              <w:rPr>
                <w:color w:val="1A1A1A"/>
              </w:rPr>
              <w:t>Conduct a Value Stream Mapping (VSM) session to identify where visibility, latency, and manual decisions are the biggest operational pain points.</w:t>
            </w:r>
          </w:p>
          <w:p w14:paraId="3A1B0407" w14:textId="77777777" w:rsidR="00083DBA" w:rsidRDefault="00000000">
            <w:pPr>
              <w:pStyle w:val="ListParagraph"/>
              <w:numPr>
                <w:ilvl w:val="0"/>
                <w:numId w:val="2"/>
              </w:numPr>
              <w:spacing w:before="60" w:after="60"/>
            </w:pPr>
            <w:r>
              <w:rPr>
                <w:color w:val="1A1A1A"/>
              </w:rPr>
              <w:t>Develop a one-page Vision Statement co-authored by operations leadership, engineering, and IT — not written by a vendor.</w:t>
            </w:r>
          </w:p>
          <w:p w14:paraId="397651B1" w14:textId="77777777" w:rsidR="00083DBA" w:rsidRDefault="00000000">
            <w:pPr>
              <w:pStyle w:val="ListParagraph"/>
              <w:numPr>
                <w:ilvl w:val="0"/>
                <w:numId w:val="2"/>
              </w:numPr>
              <w:spacing w:before="60" w:after="60"/>
            </w:pPr>
            <w:r>
              <w:rPr>
                <w:color w:val="1A1A1A"/>
              </w:rPr>
              <w:t>Define success in measurable operational terms: OEE improvement targets, MTTR reduction goals, data latency thresholds.</w:t>
            </w:r>
          </w:p>
          <w:p w14:paraId="0B28C247" w14:textId="77777777" w:rsidR="00083DBA" w:rsidRDefault="00000000">
            <w:pPr>
              <w:pStyle w:val="ListParagraph"/>
              <w:numPr>
                <w:ilvl w:val="0"/>
                <w:numId w:val="2"/>
              </w:numPr>
              <w:spacing w:before="60" w:after="60"/>
            </w:pPr>
            <w:r>
              <w:rPr>
                <w:color w:val="1A1A1A"/>
              </w:rPr>
              <w:t>Reference ISA-95 Levels 0–4 to anchor conversations about what each level of the architecture will enable.</w:t>
            </w:r>
          </w:p>
          <w:p w14:paraId="35B1E281" w14:textId="77777777" w:rsidR="00083DBA" w:rsidRDefault="00000000">
            <w:pPr>
              <w:pStyle w:val="ListParagraph"/>
              <w:numPr>
                <w:ilvl w:val="0"/>
                <w:numId w:val="2"/>
              </w:numPr>
              <w:spacing w:before="60" w:after="60"/>
            </w:pPr>
            <w:r>
              <w:rPr>
                <w:color w:val="1A1A1A"/>
              </w:rPr>
              <w:t>Conduct periodic Vision Check-ins at project milestones to ensure it remains relevant and understood.</w:t>
            </w:r>
          </w:p>
        </w:tc>
      </w:tr>
    </w:tbl>
    <w:p w14:paraId="54AFEFE7" w14:textId="77777777" w:rsidR="00083DBA" w:rsidRDefault="00083DBA">
      <w:pPr>
        <w:spacing w:before="160"/>
      </w:pPr>
    </w:p>
    <w:tbl>
      <w:tblPr>
        <w:tblW w:w="10080" w:type="dxa"/>
        <w:tblBorders>
          <w:top w:val="single" w:sz="6" w:space="0" w:color="C5D0DC"/>
          <w:left w:val="single" w:sz="6" w:space="0" w:color="C5D0DC"/>
          <w:bottom w:val="single" w:sz="6" w:space="0" w:color="C5D0DC"/>
          <w:right w:val="single" w:sz="6" w:space="0" w:color="C5D0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780"/>
      </w:tblGrid>
      <w:tr w:rsidR="00083DBA" w14:paraId="01897F99" w14:textId="77777777">
        <w:tc>
          <w:tcPr>
            <w:tcW w:w="1300" w:type="dxa"/>
            <w:tcBorders>
              <w:top w:val="none" w:sz="0" w:space="0" w:color="FFFFFF"/>
              <w:left w:val="none" w:sz="0" w:space="0" w:color="FFFFFF"/>
              <w:bottom w:val="none" w:sz="0" w:space="0" w:color="FFFFFF"/>
              <w:right w:val="none" w:sz="0" w:space="0" w:color="FFFFFF"/>
            </w:tcBorders>
            <w:shd w:val="clear" w:color="auto" w:fill="C5D0DC"/>
            <w:tcMar>
              <w:top w:w="160" w:type="dxa"/>
              <w:left w:w="120" w:type="dxa"/>
              <w:bottom w:w="160" w:type="dxa"/>
              <w:right w:w="120" w:type="dxa"/>
            </w:tcMar>
            <w:vAlign w:val="center"/>
          </w:tcPr>
          <w:p w14:paraId="7C934895" w14:textId="77777777" w:rsidR="00083DBA" w:rsidRDefault="00000000">
            <w:pPr>
              <w:jc w:val="center"/>
            </w:pPr>
            <w:r>
              <w:rPr>
                <w:b/>
                <w:bCs/>
                <w:color w:val="1A1A1A"/>
                <w:sz w:val="26"/>
                <w:szCs w:val="26"/>
              </w:rPr>
              <w:t>Strategy</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395469E6" w14:textId="77777777" w:rsidR="00083DBA" w:rsidRDefault="00000000">
            <w:pPr>
              <w:spacing w:before="120" w:after="60"/>
            </w:pPr>
            <w:r>
              <w:rPr>
                <w:b/>
                <w:bCs/>
                <w:color w:val="1A6E65"/>
                <w:sz w:val="26"/>
                <w:szCs w:val="26"/>
              </w:rPr>
              <w:t>What it is</w:t>
            </w:r>
          </w:p>
          <w:p w14:paraId="766F7A70" w14:textId="77777777" w:rsidR="00083DBA" w:rsidRDefault="00000000">
            <w:pPr>
              <w:spacing w:before="60" w:after="60"/>
            </w:pPr>
            <w:r>
              <w:rPr>
                <w:color w:val="1A1A1A"/>
              </w:rPr>
              <w:t>Strategy is the plan for how the vision will be achieved — the sequence, priorities, resource allocation, and governance model that turns the vision into reality. In a brownfield environment, strategy must account for legacy constraints: aging PLCs, proprietary protocols, limited network infrastructure, and the reality that production cannot stop. A good strategy is phased, risk-aware, and built on what is actually in the plant today.</w:t>
            </w:r>
          </w:p>
          <w:p w14:paraId="2DB90B62" w14:textId="77777777" w:rsidR="00083DBA" w:rsidRDefault="00000000">
            <w:pPr>
              <w:spacing w:before="120" w:after="60"/>
            </w:pPr>
            <w:r>
              <w:rPr>
                <w:b/>
                <w:bCs/>
                <w:color w:val="CC4444"/>
                <w:sz w:val="26"/>
                <w:szCs w:val="26"/>
              </w:rPr>
              <w:lastRenderedPageBreak/>
              <w:t>Without it: Haphazard Implementation</w:t>
            </w:r>
          </w:p>
          <w:p w14:paraId="2EF66946" w14:textId="77777777" w:rsidR="00083DBA" w:rsidRDefault="00000000">
            <w:pPr>
              <w:spacing w:before="60" w:after="60"/>
            </w:pPr>
            <w:r>
              <w:rPr>
                <w:color w:val="1A1A1A"/>
              </w:rPr>
              <w:t>Projects start wherever enthusiasm exists, not where value or sequencing logic dictates. Architectural decisions are made inconsistently across sites or time periods. A historian is deployed before edge infrastructure exists to feed it. A SCADA upgrade is purchased before data governance standards are defined.</w:t>
            </w:r>
          </w:p>
          <w:p w14:paraId="3E315E86" w14:textId="77777777" w:rsidR="00083DBA" w:rsidRDefault="00000000">
            <w:pPr>
              <w:spacing w:before="120" w:after="60"/>
            </w:pPr>
            <w:r>
              <w:rPr>
                <w:b/>
                <w:bCs/>
                <w:color w:val="1A6E65"/>
                <w:sz w:val="26"/>
                <w:szCs w:val="26"/>
              </w:rPr>
              <w:t>Methods</w:t>
            </w:r>
          </w:p>
          <w:p w14:paraId="07040816" w14:textId="77777777" w:rsidR="00083DBA" w:rsidRDefault="00000000">
            <w:pPr>
              <w:pStyle w:val="ListParagraph"/>
              <w:numPr>
                <w:ilvl w:val="0"/>
                <w:numId w:val="2"/>
              </w:numPr>
              <w:spacing w:before="60" w:after="60"/>
            </w:pPr>
            <w:r>
              <w:rPr>
                <w:color w:val="1A1A1A"/>
              </w:rPr>
              <w:t>Define a phased architecture roadmap aligned with ISA-95 and the Unified Namespace (UNS) concept: instrument → edge → broker → historian → analytics.</w:t>
            </w:r>
          </w:p>
          <w:p w14:paraId="40B6D975" w14:textId="77777777" w:rsidR="00083DBA" w:rsidRDefault="00000000">
            <w:pPr>
              <w:pStyle w:val="ListParagraph"/>
              <w:numPr>
                <w:ilvl w:val="0"/>
                <w:numId w:val="2"/>
              </w:numPr>
              <w:spacing w:before="60" w:after="60"/>
            </w:pPr>
            <w:r>
              <w:rPr>
                <w:color w:val="1A1A1A"/>
              </w:rPr>
              <w:t>Conduct a Plant Asset Inventory to document every PLC, HMI, drive, and sensor — including protocol, age, and network capability.</w:t>
            </w:r>
          </w:p>
          <w:p w14:paraId="41C13073" w14:textId="77777777" w:rsidR="00083DBA" w:rsidRDefault="00000000">
            <w:pPr>
              <w:pStyle w:val="ListParagraph"/>
              <w:numPr>
                <w:ilvl w:val="0"/>
                <w:numId w:val="2"/>
              </w:numPr>
              <w:spacing w:before="60" w:after="60"/>
            </w:pPr>
            <w:r>
              <w:rPr>
                <w:color w:val="1A1A1A"/>
              </w:rPr>
              <w:t>Apply Risk-Stratified Prioritization: sequence deployments by production criticality, protocol complexity, and data value.</w:t>
            </w:r>
          </w:p>
          <w:p w14:paraId="2B6C888A" w14:textId="77777777" w:rsidR="00083DBA" w:rsidRDefault="00000000">
            <w:pPr>
              <w:pStyle w:val="ListParagraph"/>
              <w:numPr>
                <w:ilvl w:val="0"/>
                <w:numId w:val="2"/>
              </w:numPr>
              <w:spacing w:before="60" w:after="60"/>
            </w:pPr>
            <w:r>
              <w:rPr>
                <w:color w:val="1A1A1A"/>
              </w:rPr>
              <w:t>Establish governance structures: who owns the data model, who approves tag naming standards, who controls MQTT broker access.</w:t>
            </w:r>
          </w:p>
          <w:p w14:paraId="7DBEEB06" w14:textId="77777777" w:rsidR="00083DBA" w:rsidRDefault="00000000">
            <w:pPr>
              <w:pStyle w:val="ListParagraph"/>
              <w:numPr>
                <w:ilvl w:val="0"/>
                <w:numId w:val="2"/>
              </w:numPr>
              <w:spacing w:before="60" w:after="60"/>
            </w:pPr>
            <w:r>
              <w:rPr>
                <w:color w:val="1A1A1A"/>
              </w:rPr>
              <w:t xml:space="preserve">Use a brownfield integration pattern: data extraction at the edge (Ignition Edge, Node-RED, </w:t>
            </w:r>
            <w:proofErr w:type="spellStart"/>
            <w:r>
              <w:rPr>
                <w:color w:val="1A1A1A"/>
              </w:rPr>
              <w:t>groov</w:t>
            </w:r>
            <w:proofErr w:type="spellEnd"/>
            <w:r>
              <w:rPr>
                <w:color w:val="1A1A1A"/>
              </w:rPr>
              <w:t xml:space="preserve"> EPIC) before touching control layer logic.</w:t>
            </w:r>
          </w:p>
          <w:p w14:paraId="204B3DAB" w14:textId="77777777" w:rsidR="00083DBA" w:rsidRDefault="00000000">
            <w:pPr>
              <w:pStyle w:val="ListParagraph"/>
              <w:numPr>
                <w:ilvl w:val="0"/>
                <w:numId w:val="2"/>
              </w:numPr>
              <w:spacing w:before="60" w:after="60"/>
            </w:pPr>
            <w:r>
              <w:rPr>
                <w:color w:val="1A1A1A"/>
              </w:rPr>
              <w:t>Define a Minimal Viable Architecture (MVA) — the smallest deployment that proves the concept and builds organizational confidence.</w:t>
            </w:r>
          </w:p>
        </w:tc>
      </w:tr>
    </w:tbl>
    <w:p w14:paraId="12F0C615" w14:textId="77777777" w:rsidR="00083DBA" w:rsidRDefault="00083DBA">
      <w:pPr>
        <w:spacing w:before="160"/>
      </w:pPr>
    </w:p>
    <w:tbl>
      <w:tblPr>
        <w:tblW w:w="10080" w:type="dxa"/>
        <w:tblBorders>
          <w:top w:val="single" w:sz="6" w:space="0" w:color="C8D8C8"/>
          <w:left w:val="single" w:sz="6" w:space="0" w:color="C8D8C8"/>
          <w:bottom w:val="single" w:sz="6" w:space="0" w:color="C8D8C8"/>
          <w:right w:val="single" w:sz="6" w:space="0" w:color="C8D8C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8524"/>
      </w:tblGrid>
      <w:tr w:rsidR="00083DBA" w14:paraId="5F3D9522" w14:textId="77777777">
        <w:tc>
          <w:tcPr>
            <w:tcW w:w="1300" w:type="dxa"/>
            <w:tcBorders>
              <w:top w:val="none" w:sz="0" w:space="0" w:color="FFFFFF"/>
              <w:left w:val="none" w:sz="0" w:space="0" w:color="FFFFFF"/>
              <w:bottom w:val="none" w:sz="0" w:space="0" w:color="FFFFFF"/>
              <w:right w:val="none" w:sz="0" w:space="0" w:color="FFFFFF"/>
            </w:tcBorders>
            <w:shd w:val="clear" w:color="auto" w:fill="C8D8C8"/>
            <w:tcMar>
              <w:top w:w="160" w:type="dxa"/>
              <w:left w:w="120" w:type="dxa"/>
              <w:bottom w:w="160" w:type="dxa"/>
              <w:right w:w="120" w:type="dxa"/>
            </w:tcMar>
            <w:vAlign w:val="center"/>
          </w:tcPr>
          <w:p w14:paraId="39EBE1A2" w14:textId="77777777" w:rsidR="00083DBA" w:rsidRDefault="00000000">
            <w:pPr>
              <w:jc w:val="center"/>
            </w:pPr>
            <w:r>
              <w:rPr>
                <w:b/>
                <w:bCs/>
                <w:color w:val="1A1A1A"/>
                <w:sz w:val="26"/>
                <w:szCs w:val="26"/>
              </w:rPr>
              <w:t>Objectives</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293BC634" w14:textId="77777777" w:rsidR="00083DBA" w:rsidRDefault="00000000">
            <w:pPr>
              <w:spacing w:before="120" w:after="60"/>
            </w:pPr>
            <w:r>
              <w:rPr>
                <w:b/>
                <w:bCs/>
                <w:color w:val="1A6E65"/>
                <w:sz w:val="26"/>
                <w:szCs w:val="26"/>
              </w:rPr>
              <w:t>What it is</w:t>
            </w:r>
          </w:p>
          <w:p w14:paraId="752F797A" w14:textId="77777777" w:rsidR="00083DBA" w:rsidRDefault="00000000">
            <w:pPr>
              <w:spacing w:before="60" w:after="60"/>
            </w:pPr>
            <w:r>
              <w:rPr>
                <w:color w:val="1A1A1A"/>
              </w:rPr>
              <w:t>Objectives are the specific, measurable milestones that demonstrate progress toward the vision. They break the strategy into trackable deliverables with defined owners and timeframes. Objectives make accountability real. Without them, it is impossible to know whether the initiative is on track or drifting.</w:t>
            </w:r>
          </w:p>
          <w:p w14:paraId="39542D30" w14:textId="77777777" w:rsidR="00083DBA" w:rsidRDefault="00000000">
            <w:pPr>
              <w:spacing w:before="120" w:after="60"/>
            </w:pPr>
            <w:r>
              <w:rPr>
                <w:b/>
                <w:bCs/>
                <w:color w:val="CC4444"/>
                <w:sz w:val="26"/>
                <w:szCs w:val="26"/>
              </w:rPr>
              <w:t>Without it: Ambiguous Outcomes</w:t>
            </w:r>
          </w:p>
          <w:p w14:paraId="6D566B9E" w14:textId="77777777" w:rsidR="00083DBA" w:rsidRDefault="00000000">
            <w:pPr>
              <w:spacing w:before="60" w:after="60"/>
            </w:pPr>
            <w:r>
              <w:rPr>
                <w:color w:val="1A1A1A"/>
              </w:rPr>
              <w:t xml:space="preserve">The team is </w:t>
            </w:r>
            <w:proofErr w:type="gramStart"/>
            <w:r>
              <w:rPr>
                <w:color w:val="1A1A1A"/>
              </w:rPr>
              <w:t>busy</w:t>
            </w:r>
            <w:proofErr w:type="gramEnd"/>
            <w:r>
              <w:rPr>
                <w:color w:val="1A1A1A"/>
              </w:rPr>
              <w:t xml:space="preserve"> but it is unclear whether meaningful progress is being made. Milestones are vague ('get more data' rather than 'publish OEE to UNS by Q2'). Stakeholders have different mental models of what success at each stage means. No clear criteria exist for deciding whether a pilot has succeeded.</w:t>
            </w:r>
          </w:p>
          <w:p w14:paraId="276B7CCB" w14:textId="77777777" w:rsidR="00083DBA" w:rsidRDefault="00000000">
            <w:pPr>
              <w:spacing w:before="120" w:after="60"/>
            </w:pPr>
            <w:r>
              <w:rPr>
                <w:b/>
                <w:bCs/>
                <w:color w:val="1A6E65"/>
                <w:sz w:val="26"/>
                <w:szCs w:val="26"/>
              </w:rPr>
              <w:t>Methods</w:t>
            </w:r>
          </w:p>
          <w:p w14:paraId="619F3CE7" w14:textId="77777777" w:rsidR="00083DBA" w:rsidRDefault="00000000">
            <w:pPr>
              <w:pStyle w:val="ListParagraph"/>
              <w:numPr>
                <w:ilvl w:val="0"/>
                <w:numId w:val="2"/>
              </w:numPr>
              <w:spacing w:before="60" w:after="60"/>
            </w:pPr>
            <w:r>
              <w:rPr>
                <w:color w:val="1A1A1A"/>
              </w:rPr>
              <w:t>Write SMART Objectives at each project phase: Specific, Measurable, Achievable, Relevant, Time-bound.</w:t>
            </w:r>
          </w:p>
          <w:p w14:paraId="34F05CDC" w14:textId="77777777" w:rsidR="00083DBA" w:rsidRDefault="00000000">
            <w:pPr>
              <w:pStyle w:val="ListParagraph"/>
              <w:numPr>
                <w:ilvl w:val="0"/>
                <w:numId w:val="2"/>
              </w:numPr>
              <w:spacing w:before="60" w:after="60"/>
            </w:pPr>
            <w:r>
              <w:rPr>
                <w:color w:val="1A1A1A"/>
              </w:rPr>
              <w:t>Example: 'By end of Q3, all four assembly stations will publish Sparkplug B payloads to the MQTT broker with less than 500ms latency and 99.5% uptime.'</w:t>
            </w:r>
          </w:p>
          <w:p w14:paraId="04272FD4" w14:textId="77777777" w:rsidR="00083DBA" w:rsidRDefault="00000000">
            <w:pPr>
              <w:pStyle w:val="ListParagraph"/>
              <w:numPr>
                <w:ilvl w:val="0"/>
                <w:numId w:val="2"/>
              </w:numPr>
              <w:spacing w:before="60" w:after="60"/>
            </w:pPr>
            <w:r>
              <w:rPr>
                <w:color w:val="1A1A1A"/>
              </w:rPr>
              <w:t>Use a Milestone Matrix that maps each objective to its owner, dependency chain, and acceptance criteria.</w:t>
            </w:r>
          </w:p>
          <w:p w14:paraId="6E628B90" w14:textId="77777777" w:rsidR="00083DBA" w:rsidRDefault="00000000">
            <w:pPr>
              <w:pStyle w:val="ListParagraph"/>
              <w:numPr>
                <w:ilvl w:val="0"/>
                <w:numId w:val="2"/>
              </w:numPr>
              <w:spacing w:before="60" w:after="60"/>
            </w:pPr>
            <w:r>
              <w:rPr>
                <w:color w:val="1A1A1A"/>
              </w:rPr>
              <w:lastRenderedPageBreak/>
              <w:t>Implement a KPI Dashboard (Grafana, Ignition) visible to both operations and engineering so progress is measurable in operational terms, not just technical ones.</w:t>
            </w:r>
          </w:p>
          <w:p w14:paraId="55911251" w14:textId="77777777" w:rsidR="00083DBA" w:rsidRDefault="00000000">
            <w:pPr>
              <w:pStyle w:val="ListParagraph"/>
              <w:numPr>
                <w:ilvl w:val="0"/>
                <w:numId w:val="2"/>
              </w:numPr>
              <w:spacing w:before="60" w:after="60"/>
            </w:pPr>
            <w:r>
              <w:rPr>
                <w:color w:val="1A1A1A"/>
              </w:rPr>
              <w:t>Define Go/No-Go criteria for each phase gate before the phase begins, not after.</w:t>
            </w:r>
          </w:p>
          <w:p w14:paraId="397882C5" w14:textId="77777777" w:rsidR="00083DBA" w:rsidRDefault="00000000">
            <w:pPr>
              <w:pStyle w:val="ListParagraph"/>
              <w:numPr>
                <w:ilvl w:val="0"/>
                <w:numId w:val="2"/>
              </w:numPr>
              <w:spacing w:before="60" w:after="60"/>
            </w:pPr>
            <w:r>
              <w:rPr>
                <w:color w:val="1A1A1A"/>
              </w:rPr>
              <w:t>Conduct monthly objective reviews that include plant operations — not just the integration team.</w:t>
            </w:r>
          </w:p>
        </w:tc>
      </w:tr>
    </w:tbl>
    <w:p w14:paraId="588F23D3" w14:textId="77777777" w:rsidR="00083DBA" w:rsidRDefault="00083DBA">
      <w:pPr>
        <w:spacing w:before="160"/>
      </w:pPr>
    </w:p>
    <w:tbl>
      <w:tblPr>
        <w:tblW w:w="10080" w:type="dxa"/>
        <w:tblBorders>
          <w:top w:val="single" w:sz="6" w:space="0" w:color="D8C8B8"/>
          <w:left w:val="single" w:sz="6" w:space="0" w:color="D8C8B8"/>
          <w:bottom w:val="single" w:sz="6" w:space="0" w:color="D8C8B8"/>
          <w:right w:val="single" w:sz="6" w:space="0" w:color="D8C8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380"/>
      </w:tblGrid>
      <w:tr w:rsidR="00083DBA" w14:paraId="0BEEF259" w14:textId="77777777">
        <w:tc>
          <w:tcPr>
            <w:tcW w:w="1300" w:type="dxa"/>
            <w:tcBorders>
              <w:top w:val="none" w:sz="0" w:space="0" w:color="FFFFFF"/>
              <w:left w:val="none" w:sz="0" w:space="0" w:color="FFFFFF"/>
              <w:bottom w:val="none" w:sz="0" w:space="0" w:color="FFFFFF"/>
              <w:right w:val="none" w:sz="0" w:space="0" w:color="FFFFFF"/>
            </w:tcBorders>
            <w:shd w:val="clear" w:color="auto" w:fill="D8C8B8"/>
            <w:tcMar>
              <w:top w:w="160" w:type="dxa"/>
              <w:left w:w="120" w:type="dxa"/>
              <w:bottom w:w="160" w:type="dxa"/>
              <w:right w:w="120" w:type="dxa"/>
            </w:tcMar>
            <w:vAlign w:val="center"/>
          </w:tcPr>
          <w:p w14:paraId="065E33C4" w14:textId="77777777" w:rsidR="00083DBA" w:rsidRDefault="00000000">
            <w:pPr>
              <w:jc w:val="center"/>
            </w:pPr>
            <w:r>
              <w:rPr>
                <w:b/>
                <w:bCs/>
                <w:color w:val="1A1A1A"/>
                <w:sz w:val="26"/>
                <w:szCs w:val="26"/>
              </w:rPr>
              <w:t>Capabilities</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66F49F12" w14:textId="77777777" w:rsidR="00083DBA" w:rsidRDefault="00000000">
            <w:pPr>
              <w:spacing w:before="120" w:after="60"/>
            </w:pPr>
            <w:r>
              <w:rPr>
                <w:b/>
                <w:bCs/>
                <w:color w:val="1A6E65"/>
                <w:sz w:val="26"/>
                <w:szCs w:val="26"/>
              </w:rPr>
              <w:t>What it is</w:t>
            </w:r>
          </w:p>
          <w:p w14:paraId="51877092" w14:textId="77777777" w:rsidR="00083DBA" w:rsidRDefault="00000000">
            <w:pPr>
              <w:spacing w:before="60" w:after="60"/>
            </w:pPr>
            <w:r>
              <w:rPr>
                <w:color w:val="1A1A1A"/>
              </w:rPr>
              <w:t>Capabilities encompass the technical skills, tools, organizational knowledge, and vendor partnerships required to execute the strategy. In IIoT integration, this means both the OT knowledge to safely work with control systems and the IT/IIoT knowledge to design, deploy, and maintain data infrastructure. The capability gap between these two worlds is one of the most common failure points in brownfield modernization.</w:t>
            </w:r>
          </w:p>
          <w:p w14:paraId="53F6749E" w14:textId="77777777" w:rsidR="00083DBA" w:rsidRDefault="00000000">
            <w:pPr>
              <w:spacing w:before="120" w:after="60"/>
            </w:pPr>
            <w:r>
              <w:rPr>
                <w:b/>
                <w:bCs/>
                <w:color w:val="CC4444"/>
                <w:sz w:val="26"/>
                <w:szCs w:val="26"/>
              </w:rPr>
              <w:t>Without it: Underdeveloped Execution</w:t>
            </w:r>
          </w:p>
          <w:p w14:paraId="30E4BA99" w14:textId="77777777" w:rsidR="00083DBA" w:rsidRDefault="00000000">
            <w:pPr>
              <w:spacing w:before="60" w:after="60"/>
            </w:pPr>
            <w:r>
              <w:rPr>
                <w:color w:val="1A1A1A"/>
              </w:rPr>
              <w:t>The vision and strategy are clear, but the team cannot build what is needed. IT teams don't understand PLC data structures or network segmentation in OT environments. Controls engineers don't know how to configure MQTT or design a data model. Vendors are engaged but cannot bridge the OT/IT gap themselves. Projects stall or are implemented incorrectly.</w:t>
            </w:r>
          </w:p>
          <w:p w14:paraId="51D75A52" w14:textId="77777777" w:rsidR="00083DBA" w:rsidRDefault="00000000">
            <w:pPr>
              <w:spacing w:before="120" w:after="60"/>
            </w:pPr>
            <w:r>
              <w:rPr>
                <w:b/>
                <w:bCs/>
                <w:color w:val="1A6E65"/>
                <w:sz w:val="26"/>
                <w:szCs w:val="26"/>
              </w:rPr>
              <w:t>Methods</w:t>
            </w:r>
          </w:p>
          <w:p w14:paraId="4DB0D45B" w14:textId="77777777" w:rsidR="00083DBA" w:rsidRDefault="00000000">
            <w:pPr>
              <w:pStyle w:val="ListParagraph"/>
              <w:numPr>
                <w:ilvl w:val="0"/>
                <w:numId w:val="2"/>
              </w:numPr>
              <w:spacing w:before="60" w:after="60"/>
            </w:pPr>
            <w:r>
              <w:rPr>
                <w:color w:val="1A1A1A"/>
              </w:rPr>
              <w:t>Conduct a Capability Gap Assessment across three domains: OT/controls, IIoT/networking, and data/analytics.</w:t>
            </w:r>
          </w:p>
          <w:p w14:paraId="13CF755D" w14:textId="77777777" w:rsidR="00083DBA" w:rsidRDefault="00000000">
            <w:pPr>
              <w:pStyle w:val="ListParagraph"/>
              <w:numPr>
                <w:ilvl w:val="0"/>
                <w:numId w:val="2"/>
              </w:numPr>
              <w:spacing w:before="60" w:after="60"/>
            </w:pPr>
            <w:r>
              <w:rPr>
                <w:color w:val="1A1A1A"/>
              </w:rPr>
              <w:t>Invest in structured training: MQTT certifications (</w:t>
            </w:r>
            <w:proofErr w:type="spellStart"/>
            <w:r>
              <w:rPr>
                <w:color w:val="1A1A1A"/>
              </w:rPr>
              <w:t>HiveMQ</w:t>
            </w:r>
            <w:proofErr w:type="spellEnd"/>
            <w:r>
              <w:rPr>
                <w:color w:val="1A1A1A"/>
              </w:rPr>
              <w:t xml:space="preserve"> Associate, Sparkplug B spec), Ignition Core/Build certification, Node-RED developer training.</w:t>
            </w:r>
          </w:p>
          <w:p w14:paraId="18D61D25" w14:textId="77777777" w:rsidR="00083DBA" w:rsidRDefault="00000000">
            <w:pPr>
              <w:pStyle w:val="ListParagraph"/>
              <w:numPr>
                <w:ilvl w:val="0"/>
                <w:numId w:val="2"/>
              </w:numPr>
              <w:spacing w:before="60" w:after="60"/>
            </w:pPr>
            <w:r>
              <w:rPr>
                <w:color w:val="1A1A1A"/>
              </w:rPr>
              <w:t>Build a hands-on training environment (multi-PLC rack, edge devices, IIoT server stack) that mirrors production architecture without production risk.</w:t>
            </w:r>
          </w:p>
          <w:p w14:paraId="6928DC4C" w14:textId="77777777" w:rsidR="00083DBA" w:rsidRDefault="00000000">
            <w:pPr>
              <w:pStyle w:val="ListParagraph"/>
              <w:numPr>
                <w:ilvl w:val="0"/>
                <w:numId w:val="2"/>
              </w:numPr>
              <w:spacing w:before="60" w:after="60"/>
            </w:pPr>
            <w:r>
              <w:rPr>
                <w:color w:val="1A1A1A"/>
              </w:rPr>
              <w:t>Identify and develop internal OT/IT Integration Specialists — people who speak both languages fluently — as the organizational bridge.</w:t>
            </w:r>
          </w:p>
          <w:p w14:paraId="5F9830DD" w14:textId="77777777" w:rsidR="00083DBA" w:rsidRDefault="00000000">
            <w:pPr>
              <w:pStyle w:val="ListParagraph"/>
              <w:numPr>
                <w:ilvl w:val="0"/>
                <w:numId w:val="2"/>
              </w:numPr>
              <w:spacing w:before="60" w:after="60"/>
            </w:pPr>
            <w:r>
              <w:rPr>
                <w:color w:val="1A1A1A"/>
              </w:rPr>
              <w:t>Establish relationships with integration partners who have brownfield manufacturing experience, not just general IT consulting experience.</w:t>
            </w:r>
          </w:p>
          <w:p w14:paraId="6C9785A5" w14:textId="77777777" w:rsidR="00083DBA" w:rsidRDefault="00000000">
            <w:pPr>
              <w:pStyle w:val="ListParagraph"/>
              <w:numPr>
                <w:ilvl w:val="0"/>
                <w:numId w:val="2"/>
              </w:numPr>
              <w:spacing w:before="60" w:after="60"/>
            </w:pPr>
            <w:r>
              <w:rPr>
                <w:color w:val="1A1A1A"/>
              </w:rPr>
              <w:t>Create internal documentation libraries: tag naming standards, network architecture diagrams, protocol configuration guides, commissioning checklists.</w:t>
            </w:r>
          </w:p>
        </w:tc>
      </w:tr>
    </w:tbl>
    <w:p w14:paraId="68D3E6EB" w14:textId="77777777" w:rsidR="00083DBA" w:rsidRDefault="00083DBA">
      <w:pPr>
        <w:spacing w:before="160"/>
      </w:pPr>
    </w:p>
    <w:tbl>
      <w:tblPr>
        <w:tblW w:w="10080" w:type="dxa"/>
        <w:tblBorders>
          <w:top w:val="single" w:sz="6" w:space="0" w:color="C8C0D8"/>
          <w:left w:val="single" w:sz="6" w:space="0" w:color="C8C0D8"/>
          <w:bottom w:val="single" w:sz="6" w:space="0" w:color="C8C0D8"/>
          <w:right w:val="single" w:sz="6" w:space="0" w:color="C8C0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8308"/>
      </w:tblGrid>
      <w:tr w:rsidR="00083DBA" w14:paraId="67FE6678" w14:textId="77777777">
        <w:tc>
          <w:tcPr>
            <w:tcW w:w="1300" w:type="dxa"/>
            <w:tcBorders>
              <w:top w:val="none" w:sz="0" w:space="0" w:color="FFFFFF"/>
              <w:left w:val="none" w:sz="0" w:space="0" w:color="FFFFFF"/>
              <w:bottom w:val="none" w:sz="0" w:space="0" w:color="FFFFFF"/>
              <w:right w:val="none" w:sz="0" w:space="0" w:color="FFFFFF"/>
            </w:tcBorders>
            <w:shd w:val="clear" w:color="auto" w:fill="C8C0D8"/>
            <w:tcMar>
              <w:top w:w="160" w:type="dxa"/>
              <w:left w:w="120" w:type="dxa"/>
              <w:bottom w:w="160" w:type="dxa"/>
              <w:right w:w="120" w:type="dxa"/>
            </w:tcMar>
            <w:vAlign w:val="center"/>
          </w:tcPr>
          <w:p w14:paraId="244EB41E" w14:textId="77777777" w:rsidR="00083DBA" w:rsidRDefault="00000000">
            <w:pPr>
              <w:jc w:val="center"/>
            </w:pPr>
            <w:r>
              <w:rPr>
                <w:b/>
                <w:bCs/>
                <w:color w:val="1A1A1A"/>
                <w:sz w:val="26"/>
                <w:szCs w:val="26"/>
              </w:rPr>
              <w:lastRenderedPageBreak/>
              <w:t>Architecture</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7A60A834" w14:textId="77777777" w:rsidR="00083DBA" w:rsidRDefault="00000000">
            <w:pPr>
              <w:spacing w:before="120" w:after="60"/>
            </w:pPr>
            <w:r>
              <w:rPr>
                <w:b/>
                <w:bCs/>
                <w:color w:val="1A6E65"/>
                <w:sz w:val="26"/>
                <w:szCs w:val="26"/>
              </w:rPr>
              <w:t>What it is</w:t>
            </w:r>
          </w:p>
          <w:p w14:paraId="6921D3C4" w14:textId="77777777" w:rsidR="00083DBA" w:rsidRDefault="00000000">
            <w:pPr>
              <w:spacing w:before="60" w:after="60"/>
            </w:pPr>
            <w:r>
              <w:rPr>
                <w:color w:val="1A1A1A"/>
              </w:rPr>
              <w:t>Architecture is the technical design that defines how systems connect, how data flows, and how the infrastructure will scale and evolve over time. In an IIoT context, architecture decisions made early have long-term consequences. The choice between proprietary and open protocols, the selection of broker and historian platforms, the network segmentation approach, and the data modeling standards all determine whether the system can grow or becomes a dead end.</w:t>
            </w:r>
          </w:p>
          <w:p w14:paraId="51C5F03A" w14:textId="77777777" w:rsidR="00083DBA" w:rsidRDefault="00000000">
            <w:pPr>
              <w:spacing w:before="120" w:after="60"/>
            </w:pPr>
            <w:r>
              <w:rPr>
                <w:b/>
                <w:bCs/>
                <w:color w:val="CC4444"/>
                <w:sz w:val="26"/>
                <w:szCs w:val="26"/>
              </w:rPr>
              <w:t>Without it: Fragmented Systems</w:t>
            </w:r>
          </w:p>
          <w:p w14:paraId="319DBBBC" w14:textId="0BB539D2" w:rsidR="00083DBA" w:rsidRDefault="00000000">
            <w:pPr>
              <w:spacing w:before="60" w:after="60"/>
            </w:pPr>
            <w:r>
              <w:rPr>
                <w:color w:val="1A1A1A"/>
              </w:rPr>
              <w:t>Multiple disconnected data islands that cannot share information. Each machine or line has its own historian in a proprietary format. A new analytics tool cannot access data from legacy systems. Protocol proliferation means every integration is custom and brittle. The architecture cannot accommodate new equipment or sites without rework.</w:t>
            </w:r>
          </w:p>
          <w:p w14:paraId="0B37ECE6" w14:textId="77777777" w:rsidR="00083DBA" w:rsidRDefault="00000000">
            <w:pPr>
              <w:spacing w:before="120" w:after="60"/>
            </w:pPr>
            <w:r>
              <w:rPr>
                <w:b/>
                <w:bCs/>
                <w:color w:val="1A6E65"/>
                <w:sz w:val="26"/>
                <w:szCs w:val="26"/>
              </w:rPr>
              <w:t>Methods</w:t>
            </w:r>
          </w:p>
          <w:p w14:paraId="7B87DF9C" w14:textId="77777777" w:rsidR="00083DBA" w:rsidRDefault="00000000">
            <w:pPr>
              <w:pStyle w:val="ListParagraph"/>
              <w:numPr>
                <w:ilvl w:val="0"/>
                <w:numId w:val="2"/>
              </w:numPr>
              <w:spacing w:before="60" w:after="60"/>
            </w:pPr>
            <w:r>
              <w:rPr>
                <w:color w:val="1A1A1A"/>
              </w:rPr>
              <w:t>Design to the Unified Namespace (UNS) principle: a single, structured, real-time data fabric that all systems publish to and subscribe from, using MQTT/Sparkplug B.</w:t>
            </w:r>
          </w:p>
          <w:p w14:paraId="269A5C62" w14:textId="77777777" w:rsidR="00083DBA" w:rsidRDefault="00000000">
            <w:pPr>
              <w:pStyle w:val="ListParagraph"/>
              <w:numPr>
                <w:ilvl w:val="0"/>
                <w:numId w:val="2"/>
              </w:numPr>
              <w:spacing w:before="60" w:after="60"/>
            </w:pPr>
            <w:r>
              <w:rPr>
                <w:color w:val="1A1A1A"/>
              </w:rPr>
              <w:t>Apply ISA-95 Layer hierarchy: Level 0–1 (field/control), Level 2 (SCADA/HMI), Level 3 (MES/historian), Level 4 (ERP/analytics).</w:t>
            </w:r>
          </w:p>
          <w:p w14:paraId="0AD6E70F" w14:textId="77777777" w:rsidR="00083DBA" w:rsidRDefault="00000000">
            <w:pPr>
              <w:pStyle w:val="ListParagraph"/>
              <w:numPr>
                <w:ilvl w:val="0"/>
                <w:numId w:val="2"/>
              </w:numPr>
              <w:spacing w:before="60" w:after="60"/>
            </w:pPr>
            <w:r>
              <w:rPr>
                <w:color w:val="1A1A1A"/>
              </w:rPr>
              <w:t>Implement network segmentation (Purdue Model or ISA/IEC 62443 zones) to protect control systems while enabling data flow.</w:t>
            </w:r>
          </w:p>
          <w:p w14:paraId="716ADA8D" w14:textId="77777777" w:rsidR="00083DBA" w:rsidRDefault="00000000">
            <w:pPr>
              <w:pStyle w:val="ListParagraph"/>
              <w:numPr>
                <w:ilvl w:val="0"/>
                <w:numId w:val="2"/>
              </w:numPr>
              <w:spacing w:before="60" w:after="60"/>
            </w:pPr>
            <w:r>
              <w:rPr>
                <w:color w:val="1A1A1A"/>
              </w:rPr>
              <w:t>Standardize on open, vendor-neutral protocols: MQTT 3.1.1/5.0 for transport, Sparkplug B for payload structure, OPC-UA for equipment with native support.</w:t>
            </w:r>
          </w:p>
          <w:p w14:paraId="2B4F4497" w14:textId="70A38B5A" w:rsidR="00083DBA" w:rsidRDefault="00000000">
            <w:pPr>
              <w:pStyle w:val="ListParagraph"/>
              <w:numPr>
                <w:ilvl w:val="0"/>
                <w:numId w:val="2"/>
              </w:numPr>
              <w:spacing w:before="60" w:after="60"/>
            </w:pPr>
            <w:r>
              <w:rPr>
                <w:color w:val="1A1A1A"/>
              </w:rPr>
              <w:t xml:space="preserve">Define a canonical data model and enforce ISA-95 </w:t>
            </w:r>
            <w:proofErr w:type="spellStart"/>
            <w:r>
              <w:rPr>
                <w:color w:val="1A1A1A"/>
              </w:rPr>
              <w:t>Snake_Case</w:t>
            </w:r>
            <w:proofErr w:type="spellEnd"/>
            <w:r w:rsidR="00CB1752">
              <w:rPr>
                <w:color w:val="1A1A1A"/>
              </w:rPr>
              <w:t xml:space="preserve"> (or chosen convention) </w:t>
            </w:r>
            <w:r>
              <w:rPr>
                <w:color w:val="1A1A1A"/>
              </w:rPr>
              <w:t>tag naming across all platforms from day one.</w:t>
            </w:r>
          </w:p>
          <w:p w14:paraId="1B0727F4" w14:textId="77777777" w:rsidR="00083DBA" w:rsidRDefault="00000000">
            <w:pPr>
              <w:pStyle w:val="ListParagraph"/>
              <w:numPr>
                <w:ilvl w:val="0"/>
                <w:numId w:val="2"/>
              </w:numPr>
              <w:spacing w:before="60" w:after="60"/>
            </w:pPr>
            <w:r>
              <w:rPr>
                <w:color w:val="1A1A1A"/>
              </w:rPr>
              <w:t>Design for observability: every node in the architecture should publish health metrics alongside process data.</w:t>
            </w:r>
          </w:p>
          <w:p w14:paraId="7C947FF9" w14:textId="77777777" w:rsidR="00083DBA" w:rsidRDefault="00000000">
            <w:pPr>
              <w:pStyle w:val="ListParagraph"/>
              <w:numPr>
                <w:ilvl w:val="0"/>
                <w:numId w:val="2"/>
              </w:numPr>
              <w:spacing w:before="60" w:after="60"/>
            </w:pPr>
            <w:r>
              <w:rPr>
                <w:color w:val="1A1A1A"/>
              </w:rPr>
              <w:t>Select a SCADA/MES platform (Ignition preferred for its scalability and licensing model) that can serve as the integration backbone.</w:t>
            </w:r>
          </w:p>
        </w:tc>
      </w:tr>
    </w:tbl>
    <w:p w14:paraId="25AE02E8" w14:textId="77777777" w:rsidR="00083DBA" w:rsidRDefault="00083DBA">
      <w:pPr>
        <w:spacing w:before="160"/>
      </w:pPr>
    </w:p>
    <w:tbl>
      <w:tblPr>
        <w:tblW w:w="10080" w:type="dxa"/>
        <w:tblBorders>
          <w:top w:val="single" w:sz="6" w:space="0" w:color="D8C8C0"/>
          <w:left w:val="single" w:sz="6" w:space="0" w:color="D8C8C0"/>
          <w:bottom w:val="single" w:sz="6" w:space="0" w:color="D8C8C0"/>
          <w:right w:val="single" w:sz="6" w:space="0" w:color="D8C8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8655"/>
      </w:tblGrid>
      <w:tr w:rsidR="00083DBA" w14:paraId="29E42066" w14:textId="77777777">
        <w:tc>
          <w:tcPr>
            <w:tcW w:w="1300" w:type="dxa"/>
            <w:tcBorders>
              <w:top w:val="none" w:sz="0" w:space="0" w:color="FFFFFF"/>
              <w:left w:val="none" w:sz="0" w:space="0" w:color="FFFFFF"/>
              <w:bottom w:val="none" w:sz="0" w:space="0" w:color="FFFFFF"/>
              <w:right w:val="none" w:sz="0" w:space="0" w:color="FFFFFF"/>
            </w:tcBorders>
            <w:shd w:val="clear" w:color="auto" w:fill="D8C8C0"/>
            <w:tcMar>
              <w:top w:w="160" w:type="dxa"/>
              <w:left w:w="120" w:type="dxa"/>
              <w:bottom w:w="160" w:type="dxa"/>
              <w:right w:w="120" w:type="dxa"/>
            </w:tcMar>
            <w:vAlign w:val="center"/>
          </w:tcPr>
          <w:p w14:paraId="1FB234AE" w14:textId="77777777" w:rsidR="00083DBA" w:rsidRDefault="00000000">
            <w:pPr>
              <w:jc w:val="center"/>
            </w:pPr>
            <w:r>
              <w:rPr>
                <w:b/>
                <w:bCs/>
                <w:color w:val="1A1A1A"/>
                <w:sz w:val="26"/>
                <w:szCs w:val="26"/>
              </w:rPr>
              <w:t>Roadmap</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129BCC1C" w14:textId="77777777" w:rsidR="00083DBA" w:rsidRDefault="00000000">
            <w:pPr>
              <w:spacing w:before="120" w:after="60"/>
            </w:pPr>
            <w:r>
              <w:rPr>
                <w:b/>
                <w:bCs/>
                <w:color w:val="1A6E65"/>
                <w:sz w:val="26"/>
                <w:szCs w:val="26"/>
              </w:rPr>
              <w:t>What it is</w:t>
            </w:r>
          </w:p>
          <w:p w14:paraId="7DF1F9ED" w14:textId="77777777" w:rsidR="00083DBA" w:rsidRDefault="00000000">
            <w:pPr>
              <w:spacing w:before="60" w:after="60"/>
            </w:pPr>
            <w:r>
              <w:rPr>
                <w:color w:val="1A1A1A"/>
              </w:rPr>
              <w:t>The roadmap is the time-sequenced plan that shows when each element of the strategy will be executed, what resources are required at each stage, and how the initiative will evolve from its current state to the target state. In a brownfield plant, the roadmap must respect production realities: maintenance windows, seasonal demand cycles, capital budget cycles, and the risk tolerance of operations leadership.</w:t>
            </w:r>
          </w:p>
          <w:p w14:paraId="470DFC4C" w14:textId="77777777" w:rsidR="00083DBA" w:rsidRDefault="00000000">
            <w:pPr>
              <w:spacing w:before="120" w:after="60"/>
            </w:pPr>
            <w:r>
              <w:rPr>
                <w:b/>
                <w:bCs/>
                <w:color w:val="CC4444"/>
                <w:sz w:val="26"/>
                <w:szCs w:val="26"/>
              </w:rPr>
              <w:t>Without it: Pilot Purgatory</w:t>
            </w:r>
          </w:p>
          <w:p w14:paraId="7E94CB8B" w14:textId="77777777" w:rsidR="00083DBA" w:rsidRDefault="00000000">
            <w:pPr>
              <w:spacing w:before="60" w:after="60"/>
            </w:pPr>
            <w:r>
              <w:rPr>
                <w:color w:val="1A1A1A"/>
              </w:rPr>
              <w:lastRenderedPageBreak/>
              <w:t>The organization runs endless pilots that never scale. A proof-of-concept works on one line but there is no plan or commitment to expand it. Enthusiasm fades between pilots. Budget cycles come and go without a funded, sequenced plan. The organization is perpetually 'evaluating' rather than deploying. This is one of the most common failure modes in industrial IIoT.</w:t>
            </w:r>
          </w:p>
          <w:p w14:paraId="2D518ED4" w14:textId="77777777" w:rsidR="00083DBA" w:rsidRDefault="00000000">
            <w:pPr>
              <w:spacing w:before="120" w:after="60"/>
            </w:pPr>
            <w:r>
              <w:rPr>
                <w:b/>
                <w:bCs/>
                <w:color w:val="1A6E65"/>
                <w:sz w:val="26"/>
                <w:szCs w:val="26"/>
              </w:rPr>
              <w:t>Methods</w:t>
            </w:r>
          </w:p>
          <w:p w14:paraId="2CE13442" w14:textId="77777777" w:rsidR="00083DBA" w:rsidRDefault="00000000">
            <w:pPr>
              <w:pStyle w:val="ListParagraph"/>
              <w:numPr>
                <w:ilvl w:val="0"/>
                <w:numId w:val="2"/>
              </w:numPr>
              <w:spacing w:before="60" w:after="60"/>
            </w:pPr>
            <w:r>
              <w:rPr>
                <w:color w:val="1A1A1A"/>
              </w:rPr>
              <w:t>Build a 3-Horizon Roadmap: Horizon 1 (now–12 months, foundational infrastructure), Horizon 2 (12–36 months, capability expansion), Horizon 3 (36+ months, advanced analytics and AI integration).</w:t>
            </w:r>
          </w:p>
          <w:p w14:paraId="569E8844" w14:textId="77777777" w:rsidR="00083DBA" w:rsidRDefault="00000000">
            <w:pPr>
              <w:pStyle w:val="ListParagraph"/>
              <w:numPr>
                <w:ilvl w:val="0"/>
                <w:numId w:val="2"/>
              </w:numPr>
              <w:spacing w:before="60" w:after="60"/>
            </w:pPr>
            <w:r>
              <w:rPr>
                <w:color w:val="1A1A1A"/>
              </w:rPr>
              <w:t>Sequence deployments using a 'land and expand' strategy: prove the pattern on one line, productize it, then replicate across remaining lines and sites.</w:t>
            </w:r>
          </w:p>
          <w:p w14:paraId="1ADE6CB3" w14:textId="77777777" w:rsidR="00083DBA" w:rsidRDefault="00000000">
            <w:pPr>
              <w:pStyle w:val="ListParagraph"/>
              <w:numPr>
                <w:ilvl w:val="0"/>
                <w:numId w:val="2"/>
              </w:numPr>
              <w:spacing w:before="60" w:after="60"/>
            </w:pPr>
            <w:r>
              <w:rPr>
                <w:color w:val="1A1A1A"/>
              </w:rPr>
              <w:t>Identify and schedule around production constraints: coordinate deployments with planned shutdowns, model changeovers, and maintenance windows.</w:t>
            </w:r>
          </w:p>
          <w:p w14:paraId="61FCDA41" w14:textId="77777777" w:rsidR="00083DBA" w:rsidRDefault="00000000">
            <w:pPr>
              <w:pStyle w:val="ListParagraph"/>
              <w:numPr>
                <w:ilvl w:val="0"/>
                <w:numId w:val="2"/>
              </w:numPr>
              <w:spacing w:before="60" w:after="60"/>
            </w:pPr>
            <w:r>
              <w:rPr>
                <w:color w:val="1A1A1A"/>
              </w:rPr>
              <w:t>Build the business case with ROI models at each horizon: cost avoidance from predictive maintenance, labor efficiency gains, scrap reduction, quality improvement.</w:t>
            </w:r>
          </w:p>
          <w:p w14:paraId="3C4DD78A" w14:textId="77777777" w:rsidR="00083DBA" w:rsidRDefault="00000000">
            <w:pPr>
              <w:pStyle w:val="ListParagraph"/>
              <w:numPr>
                <w:ilvl w:val="0"/>
                <w:numId w:val="2"/>
              </w:numPr>
              <w:spacing w:before="60" w:after="60"/>
            </w:pPr>
            <w:r>
              <w:rPr>
                <w:color w:val="1A1A1A"/>
              </w:rPr>
              <w:t>Establish a Steering Committee that meets quarterly to review roadmap progress, adjust priorities, and maintain executive sponsorship.</w:t>
            </w:r>
          </w:p>
          <w:p w14:paraId="1152A081" w14:textId="77777777" w:rsidR="00083DBA" w:rsidRDefault="00000000">
            <w:pPr>
              <w:pStyle w:val="ListParagraph"/>
              <w:numPr>
                <w:ilvl w:val="0"/>
                <w:numId w:val="2"/>
              </w:numPr>
              <w:spacing w:before="60" w:after="60"/>
            </w:pPr>
            <w:r>
              <w:rPr>
                <w:color w:val="1A1A1A"/>
              </w:rPr>
              <w:t>Define explicit 'exit criteria' for pilots before starting them: what specific evidence will trigger the scale decision.</w:t>
            </w:r>
          </w:p>
        </w:tc>
      </w:tr>
    </w:tbl>
    <w:p w14:paraId="2FBBB0FD" w14:textId="77777777" w:rsidR="00083DBA" w:rsidRDefault="00083DBA">
      <w:pPr>
        <w:spacing w:before="160"/>
      </w:pPr>
    </w:p>
    <w:tbl>
      <w:tblPr>
        <w:tblW w:w="10080" w:type="dxa"/>
        <w:tblBorders>
          <w:top w:val="single" w:sz="6" w:space="0" w:color="D0D0D0"/>
          <w:left w:val="single" w:sz="6" w:space="0" w:color="D0D0D0"/>
          <w:bottom w:val="single" w:sz="6" w:space="0" w:color="D0D0D0"/>
          <w:right w:val="single" w:sz="6"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8626"/>
      </w:tblGrid>
      <w:tr w:rsidR="00083DBA" w14:paraId="62E5463F" w14:textId="77777777">
        <w:tc>
          <w:tcPr>
            <w:tcW w:w="1300" w:type="dxa"/>
            <w:tcBorders>
              <w:top w:val="none" w:sz="0" w:space="0" w:color="FFFFFF"/>
              <w:left w:val="none" w:sz="0" w:space="0" w:color="FFFFFF"/>
              <w:bottom w:val="none" w:sz="0" w:space="0" w:color="FFFFFF"/>
              <w:right w:val="none" w:sz="0" w:space="0" w:color="FFFFFF"/>
            </w:tcBorders>
            <w:shd w:val="clear" w:color="auto" w:fill="D0D0D0"/>
            <w:tcMar>
              <w:top w:w="160" w:type="dxa"/>
              <w:left w:w="120" w:type="dxa"/>
              <w:bottom w:w="160" w:type="dxa"/>
              <w:right w:w="120" w:type="dxa"/>
            </w:tcMar>
            <w:vAlign w:val="center"/>
          </w:tcPr>
          <w:p w14:paraId="4E819BC6" w14:textId="77777777" w:rsidR="00083DBA" w:rsidRDefault="00000000">
            <w:pPr>
              <w:jc w:val="center"/>
            </w:pPr>
            <w:r>
              <w:rPr>
                <w:b/>
                <w:bCs/>
                <w:color w:val="1A1A1A"/>
                <w:sz w:val="26"/>
                <w:szCs w:val="26"/>
              </w:rPr>
              <w:t>Projects &amp;</w:t>
            </w:r>
            <w:r>
              <w:br/>
            </w:r>
            <w:r>
              <w:rPr>
                <w:b/>
                <w:bCs/>
                <w:color w:val="1A1A1A"/>
                <w:sz w:val="26"/>
                <w:szCs w:val="26"/>
              </w:rPr>
              <w:t>Programs</w:t>
            </w:r>
          </w:p>
        </w:tc>
        <w:tc>
          <w:tcPr>
            <w:tcW w:w="8780" w:type="dxa"/>
            <w:tcBorders>
              <w:top w:val="none" w:sz="0" w:space="0" w:color="FFFFFF"/>
              <w:left w:val="none" w:sz="0" w:space="0" w:color="FFFFFF"/>
              <w:bottom w:val="none" w:sz="0" w:space="0" w:color="FFFFFF"/>
              <w:right w:val="none" w:sz="0" w:space="0" w:color="FFFFFF"/>
            </w:tcBorders>
            <w:tcMar>
              <w:top w:w="140" w:type="dxa"/>
              <w:left w:w="200" w:type="dxa"/>
              <w:bottom w:w="140" w:type="dxa"/>
              <w:right w:w="160" w:type="dxa"/>
            </w:tcMar>
          </w:tcPr>
          <w:p w14:paraId="5D41C7CE" w14:textId="77777777" w:rsidR="00083DBA" w:rsidRDefault="00000000">
            <w:pPr>
              <w:spacing w:before="120" w:after="60"/>
            </w:pPr>
            <w:r>
              <w:rPr>
                <w:b/>
                <w:bCs/>
                <w:color w:val="1A6E65"/>
                <w:sz w:val="26"/>
                <w:szCs w:val="26"/>
              </w:rPr>
              <w:t>What it is</w:t>
            </w:r>
          </w:p>
          <w:p w14:paraId="3F9B119D" w14:textId="77777777" w:rsidR="00083DBA" w:rsidRDefault="00000000">
            <w:pPr>
              <w:spacing w:before="60" w:after="60"/>
            </w:pPr>
            <w:r>
              <w:rPr>
                <w:color w:val="1A1A1A"/>
              </w:rPr>
              <w:t>Projects and Programs are the formal execution structures — funded initiatives with defined scope, resources, timelines, and accountable owners — that translate the roadmap into deployed systems. Without structured execution, even excellent plans and architectures remain unrealized. In manufacturing environments, program management must bridge engineering project discipline with the operational realities of the plant floor.</w:t>
            </w:r>
          </w:p>
          <w:p w14:paraId="3AFF7D77" w14:textId="77777777" w:rsidR="00083DBA" w:rsidRDefault="00000000">
            <w:pPr>
              <w:spacing w:before="120" w:after="60"/>
            </w:pPr>
            <w:r>
              <w:rPr>
                <w:b/>
                <w:bCs/>
                <w:color w:val="CC4444"/>
                <w:sz w:val="26"/>
                <w:szCs w:val="26"/>
              </w:rPr>
              <w:t>Without it: Stuck in Theory</w:t>
            </w:r>
          </w:p>
          <w:p w14:paraId="767D185E" w14:textId="77777777" w:rsidR="00083DBA" w:rsidRDefault="00000000">
            <w:pPr>
              <w:spacing w:before="60" w:after="60"/>
            </w:pPr>
            <w:r>
              <w:rPr>
                <w:color w:val="1A1A1A"/>
              </w:rPr>
              <w:t>The strategy and architecture exist only in PowerPoints and conversations. There are no funded projects, no assigned engineers, no project plans, and no accountable owners. Every conversation ends with 'we should do this' but nothing is ever scoped, approved, or started. Leadership energy is consumed by planning and re-planning rather than building.</w:t>
            </w:r>
          </w:p>
          <w:p w14:paraId="381CBBB2" w14:textId="77777777" w:rsidR="00083DBA" w:rsidRDefault="00000000">
            <w:pPr>
              <w:spacing w:before="120" w:after="60"/>
            </w:pPr>
            <w:r>
              <w:rPr>
                <w:b/>
                <w:bCs/>
                <w:color w:val="1A6E65"/>
                <w:sz w:val="26"/>
                <w:szCs w:val="26"/>
              </w:rPr>
              <w:t>Methods</w:t>
            </w:r>
          </w:p>
          <w:p w14:paraId="415964B8" w14:textId="77777777" w:rsidR="00083DBA" w:rsidRDefault="00000000">
            <w:pPr>
              <w:pStyle w:val="ListParagraph"/>
              <w:numPr>
                <w:ilvl w:val="0"/>
                <w:numId w:val="2"/>
              </w:numPr>
              <w:spacing w:before="60" w:after="60"/>
            </w:pPr>
            <w:r>
              <w:rPr>
                <w:color w:val="1A1A1A"/>
              </w:rPr>
              <w:t>Define each initiative as a formal project with a Project Charter: scope, deliverables, budget, timeline, owner, and success criteria.</w:t>
            </w:r>
          </w:p>
          <w:p w14:paraId="1D79C482" w14:textId="77777777" w:rsidR="00083DBA" w:rsidRDefault="00000000">
            <w:pPr>
              <w:pStyle w:val="ListParagraph"/>
              <w:numPr>
                <w:ilvl w:val="0"/>
                <w:numId w:val="2"/>
              </w:numPr>
              <w:spacing w:before="60" w:after="60"/>
            </w:pPr>
            <w:r>
              <w:rPr>
                <w:color w:val="1A1A1A"/>
              </w:rPr>
              <w:lastRenderedPageBreak/>
              <w:t>Apply structured project management (PMBOK or lightweight Agile/Scrum adapted for OT): sprint planning, backlog management, and regular retrospectives.</w:t>
            </w:r>
          </w:p>
          <w:p w14:paraId="637464A6" w14:textId="77777777" w:rsidR="00083DBA" w:rsidRDefault="00000000">
            <w:pPr>
              <w:pStyle w:val="ListParagraph"/>
              <w:numPr>
                <w:ilvl w:val="0"/>
                <w:numId w:val="2"/>
              </w:numPr>
              <w:spacing w:before="60" w:after="60"/>
            </w:pPr>
            <w:r>
              <w:rPr>
                <w:color w:val="1A1A1A"/>
              </w:rPr>
              <w:t>Assign a dedicated integration resource (internal OT/IT Integration Specialist or embedded contractor) rather than relying on people with the initiative as a side responsibility.</w:t>
            </w:r>
          </w:p>
          <w:p w14:paraId="034621B4" w14:textId="77777777" w:rsidR="00083DBA" w:rsidRDefault="00000000">
            <w:pPr>
              <w:pStyle w:val="ListParagraph"/>
              <w:numPr>
                <w:ilvl w:val="0"/>
                <w:numId w:val="2"/>
              </w:numPr>
              <w:spacing w:before="60" w:after="60"/>
            </w:pPr>
            <w:r>
              <w:rPr>
                <w:color w:val="1A1A1A"/>
              </w:rPr>
              <w:t>Use a stage-gate process: Discovery → Design → Pilot → Validate → Scale. Each gate requires formal sign-off before resources are committed to the next stage.</w:t>
            </w:r>
          </w:p>
          <w:p w14:paraId="3487B15C" w14:textId="77777777" w:rsidR="00083DBA" w:rsidRDefault="00000000">
            <w:pPr>
              <w:pStyle w:val="ListParagraph"/>
              <w:numPr>
                <w:ilvl w:val="0"/>
                <w:numId w:val="2"/>
              </w:numPr>
              <w:spacing w:before="60" w:after="60"/>
            </w:pPr>
            <w:r>
              <w:rPr>
                <w:color w:val="1A1A1A"/>
              </w:rPr>
              <w:t>Track program health with a standardized status format: RAG (Red/Amber/Green) by objective, reported at the Steering Committee cadence.</w:t>
            </w:r>
          </w:p>
          <w:p w14:paraId="54ABEE64" w14:textId="77777777" w:rsidR="00083DBA" w:rsidRDefault="00000000">
            <w:pPr>
              <w:pStyle w:val="ListParagraph"/>
              <w:numPr>
                <w:ilvl w:val="0"/>
                <w:numId w:val="2"/>
              </w:numPr>
              <w:spacing w:before="60" w:after="60"/>
            </w:pPr>
            <w:r>
              <w:rPr>
                <w:color w:val="1A1A1A"/>
              </w:rPr>
              <w:t xml:space="preserve">Establish a </w:t>
            </w:r>
            <w:proofErr w:type="gramStart"/>
            <w:r>
              <w:rPr>
                <w:color w:val="1A1A1A"/>
              </w:rPr>
              <w:t>lessons</w:t>
            </w:r>
            <w:proofErr w:type="gramEnd"/>
            <w:r>
              <w:rPr>
                <w:color w:val="1A1A1A"/>
              </w:rPr>
              <w:t>-learned process after each deployment so that patterns and mistakes are captured and institutionalized before the next project begins.</w:t>
            </w:r>
          </w:p>
        </w:tc>
      </w:tr>
    </w:tbl>
    <w:p w14:paraId="10C4C983" w14:textId="77777777" w:rsidR="00083DBA" w:rsidRDefault="00000000">
      <w:r>
        <w:lastRenderedPageBreak/>
        <w:br w:type="page"/>
      </w:r>
    </w:p>
    <w:p w14:paraId="68736C45" w14:textId="77777777" w:rsidR="00083DBA" w:rsidRDefault="00000000">
      <w:pPr>
        <w:pStyle w:val="Heading1"/>
      </w:pPr>
      <w:r>
        <w:lastRenderedPageBreak/>
        <w:t>Failure Mode Reference</w:t>
      </w:r>
    </w:p>
    <w:p w14:paraId="2F0D906C" w14:textId="77777777" w:rsidR="00083DBA" w:rsidRDefault="00000000">
      <w:pPr>
        <w:spacing w:before="80" w:after="80"/>
      </w:pPr>
      <w:r>
        <w:rPr>
          <w:color w:val="1A1A1A"/>
        </w:rPr>
        <w:t>Use this table as a rapid diagnostic when a project is stalling or trending toward failure. Identify which symptom most closely matches what you are observing, trace it to the missing element, and focus remediation there.</w:t>
      </w:r>
    </w:p>
    <w:p w14:paraId="366A54A7" w14:textId="77777777" w:rsidR="00083DBA" w:rsidRDefault="00083DBA">
      <w:pPr>
        <w:spacing w:before="14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1982"/>
        <w:gridCol w:w="6464"/>
      </w:tblGrid>
      <w:tr w:rsidR="00083DBA" w14:paraId="43CC0984" w14:textId="77777777">
        <w:tc>
          <w:tcPr>
            <w:tcW w:w="1600" w:type="dxa"/>
            <w:tcBorders>
              <w:top w:val="none" w:sz="0" w:space="0" w:color="FFFFFF"/>
              <w:left w:val="none" w:sz="0" w:space="0" w:color="FFFFFF"/>
              <w:bottom w:val="single" w:sz="6" w:space="0" w:color="1A9E8F"/>
              <w:right w:val="none" w:sz="0" w:space="0" w:color="FFFFFF"/>
            </w:tcBorders>
            <w:tcMar>
              <w:top w:w="100" w:type="dxa"/>
              <w:left w:w="120" w:type="dxa"/>
              <w:bottom w:w="100" w:type="dxa"/>
              <w:right w:w="100" w:type="dxa"/>
            </w:tcMar>
          </w:tcPr>
          <w:p w14:paraId="283E6735" w14:textId="77777777" w:rsidR="00083DBA" w:rsidRDefault="00000000">
            <w:r>
              <w:rPr>
                <w:b/>
                <w:bCs/>
                <w:color w:val="1A1A1A"/>
              </w:rPr>
              <w:t>Missing Element</w:t>
            </w:r>
          </w:p>
        </w:tc>
        <w:tc>
          <w:tcPr>
            <w:tcW w:w="1900" w:type="dxa"/>
            <w:tcBorders>
              <w:top w:val="none" w:sz="0" w:space="0" w:color="FFFFFF"/>
              <w:left w:val="none" w:sz="0" w:space="0" w:color="FFFFFF"/>
              <w:bottom w:val="single" w:sz="6" w:space="0" w:color="1A9E8F"/>
              <w:right w:val="none" w:sz="0" w:space="0" w:color="FFFFFF"/>
            </w:tcBorders>
            <w:tcMar>
              <w:top w:w="100" w:type="dxa"/>
              <w:left w:w="120" w:type="dxa"/>
              <w:bottom w:w="100" w:type="dxa"/>
              <w:right w:w="100" w:type="dxa"/>
            </w:tcMar>
          </w:tcPr>
          <w:p w14:paraId="7D0A1C3D" w14:textId="77777777" w:rsidR="00083DBA" w:rsidRDefault="00000000">
            <w:r>
              <w:rPr>
                <w:b/>
                <w:bCs/>
                <w:color w:val="1A1A1A"/>
              </w:rPr>
              <w:t>Consequence</w:t>
            </w:r>
          </w:p>
        </w:tc>
        <w:tc>
          <w:tcPr>
            <w:tcW w:w="6580" w:type="dxa"/>
            <w:tcBorders>
              <w:top w:val="none" w:sz="0" w:space="0" w:color="FFFFFF"/>
              <w:left w:val="none" w:sz="0" w:space="0" w:color="FFFFFF"/>
              <w:bottom w:val="single" w:sz="6" w:space="0" w:color="1A9E8F"/>
              <w:right w:val="none" w:sz="0" w:space="0" w:color="FFFFFF"/>
            </w:tcBorders>
            <w:tcMar>
              <w:top w:w="100" w:type="dxa"/>
              <w:left w:w="120" w:type="dxa"/>
              <w:bottom w:w="100" w:type="dxa"/>
              <w:right w:w="100" w:type="dxa"/>
            </w:tcMar>
          </w:tcPr>
          <w:p w14:paraId="07EA5503" w14:textId="77777777" w:rsidR="00083DBA" w:rsidRDefault="00000000">
            <w:r>
              <w:rPr>
                <w:b/>
                <w:bCs/>
                <w:color w:val="1A1A1A"/>
              </w:rPr>
              <w:t>What You'll See on the Plant Floor</w:t>
            </w:r>
          </w:p>
        </w:tc>
      </w:tr>
      <w:tr w:rsidR="00083DBA" w14:paraId="0FE7B2AD"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0595D3FD" w14:textId="77777777" w:rsidR="00083DBA" w:rsidRDefault="00000000">
            <w:r>
              <w:rPr>
                <w:b/>
                <w:bCs/>
                <w:color w:val="1A1A1A"/>
              </w:rPr>
              <w:t>Vision</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5FF24BE1" w14:textId="77777777" w:rsidR="00083DBA" w:rsidRDefault="00000000">
            <w:r>
              <w:rPr>
                <w:color w:val="1A1A1A"/>
              </w:rPr>
              <w:t>Aimless Efforts</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6D55CEB4" w14:textId="77777777" w:rsidR="00083DBA" w:rsidRDefault="00000000">
            <w:r>
              <w:rPr>
                <w:color w:val="1A1A1A"/>
              </w:rPr>
              <w:t>Teams are busy but progress is incoherent. No shared definition of success. Competing priorities cancel each other out.</w:t>
            </w:r>
          </w:p>
        </w:tc>
      </w:tr>
      <w:tr w:rsidR="00083DBA" w14:paraId="64E2858F"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46BE3DE3" w14:textId="77777777" w:rsidR="00083DBA" w:rsidRDefault="00000000">
            <w:r>
              <w:rPr>
                <w:b/>
                <w:bCs/>
                <w:color w:val="1A1A1A"/>
              </w:rPr>
              <w:t>Strategy</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0B58F94C" w14:textId="77777777" w:rsidR="00083DBA" w:rsidRDefault="00000000">
            <w:r>
              <w:rPr>
                <w:color w:val="1A1A1A"/>
              </w:rPr>
              <w:t>Haphazard Implementation</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6F608530" w14:textId="77777777" w:rsidR="00083DBA" w:rsidRDefault="00000000">
            <w:r>
              <w:rPr>
                <w:color w:val="1A1A1A"/>
              </w:rPr>
              <w:t>Projects start wherever enthusiasm exists. Architectural inconsistency. Early decisions create technical debt that blocks later phases.</w:t>
            </w:r>
          </w:p>
        </w:tc>
      </w:tr>
      <w:tr w:rsidR="00083DBA" w14:paraId="2F6A6263"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612ABA5B" w14:textId="77777777" w:rsidR="00083DBA" w:rsidRDefault="00000000">
            <w:r>
              <w:rPr>
                <w:b/>
                <w:bCs/>
                <w:color w:val="1A1A1A"/>
              </w:rPr>
              <w:t>Objectives</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F3C151E" w14:textId="77777777" w:rsidR="00083DBA" w:rsidRDefault="00000000">
            <w:r>
              <w:rPr>
                <w:color w:val="1A1A1A"/>
              </w:rPr>
              <w:t>Ambiguous Outcomes</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7F02F47D" w14:textId="77777777" w:rsidR="00083DBA" w:rsidRDefault="00000000">
            <w:r>
              <w:rPr>
                <w:color w:val="1A1A1A"/>
              </w:rPr>
              <w:t>It is impossible to know whether the initiative is succeeding. Pilots run indefinitely. Stakeholders disagree on what 'done' means.</w:t>
            </w:r>
          </w:p>
        </w:tc>
      </w:tr>
      <w:tr w:rsidR="00083DBA" w14:paraId="1203A99B"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F4D36ED" w14:textId="77777777" w:rsidR="00083DBA" w:rsidRDefault="00000000">
            <w:r>
              <w:rPr>
                <w:b/>
                <w:bCs/>
                <w:color w:val="1A1A1A"/>
              </w:rPr>
              <w:t>Capabilities</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7040D618" w14:textId="77777777" w:rsidR="00083DBA" w:rsidRDefault="00000000">
            <w:r>
              <w:rPr>
                <w:color w:val="1A1A1A"/>
              </w:rPr>
              <w:t>Underdeveloped Execution</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0262592C" w14:textId="77777777" w:rsidR="00083DBA" w:rsidRDefault="00000000">
            <w:r>
              <w:rPr>
                <w:color w:val="1A1A1A"/>
              </w:rPr>
              <w:t>The team cannot build what is needed. OT/IT gaps produce incorrect implementations. Vendor dependency without internal knowledge transfer.</w:t>
            </w:r>
          </w:p>
        </w:tc>
      </w:tr>
      <w:tr w:rsidR="00083DBA" w14:paraId="0BB1687D"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18E50C4" w14:textId="77777777" w:rsidR="00083DBA" w:rsidRDefault="00000000">
            <w:r>
              <w:rPr>
                <w:b/>
                <w:bCs/>
                <w:color w:val="1A1A1A"/>
              </w:rPr>
              <w:t>Architecture</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BBD3530" w14:textId="77777777" w:rsidR="00083DBA" w:rsidRDefault="00000000">
            <w:r>
              <w:rPr>
                <w:color w:val="1A1A1A"/>
              </w:rPr>
              <w:t>Fragmented Systems</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64AE3EF0" w14:textId="77777777" w:rsidR="00083DBA" w:rsidRDefault="00000000">
            <w:r>
              <w:rPr>
                <w:color w:val="1A1A1A"/>
              </w:rPr>
              <w:t>Data silos multiply. Each integration is custom. New tools cannot access legacy data. The system cannot scale or adapt.</w:t>
            </w:r>
          </w:p>
        </w:tc>
      </w:tr>
      <w:tr w:rsidR="00083DBA" w14:paraId="1AE43164"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0023B15" w14:textId="77777777" w:rsidR="00083DBA" w:rsidRDefault="00000000">
            <w:r>
              <w:rPr>
                <w:b/>
                <w:bCs/>
                <w:color w:val="1A1A1A"/>
              </w:rPr>
              <w:t>Roadmap</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60A16CE5" w14:textId="77777777" w:rsidR="00083DBA" w:rsidRDefault="00000000">
            <w:r>
              <w:rPr>
                <w:color w:val="1A1A1A"/>
              </w:rPr>
              <w:t>Pilot Purgatory</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2BDB65FC" w14:textId="77777777" w:rsidR="00083DBA" w:rsidRDefault="00000000">
            <w:r>
              <w:rPr>
                <w:color w:val="1A1A1A"/>
              </w:rPr>
              <w:t>Successful pilots never scale. No committed expansion plan. Enthusiasm cycles without deployment cycles. Perpetual evaluation mode.</w:t>
            </w:r>
          </w:p>
        </w:tc>
      </w:tr>
      <w:tr w:rsidR="00083DBA" w14:paraId="30FC8EB9" w14:textId="77777777">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F478FB0" w14:textId="77777777" w:rsidR="00083DBA" w:rsidRDefault="00000000">
            <w:r>
              <w:rPr>
                <w:b/>
                <w:bCs/>
                <w:color w:val="1A1A1A"/>
              </w:rPr>
              <w:t>Projects &amp; Programs</w:t>
            </w:r>
          </w:p>
        </w:tc>
        <w:tc>
          <w:tcPr>
            <w:tcW w:w="19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7601BEB" w14:textId="77777777" w:rsidR="00083DBA" w:rsidRDefault="00000000">
            <w:r>
              <w:rPr>
                <w:color w:val="1A1A1A"/>
              </w:rPr>
              <w:t>Stuck in Theory</w:t>
            </w:r>
          </w:p>
        </w:tc>
        <w:tc>
          <w:tcPr>
            <w:tcW w:w="65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7D1BDD0F" w14:textId="77777777" w:rsidR="00083DBA" w:rsidRDefault="00000000">
            <w:r>
              <w:rPr>
                <w:color w:val="1A1A1A"/>
              </w:rPr>
              <w:t>Excellent plans exist only on paper. No funded, owned, scoped initiatives. Energy consumed by re-planning rather than building.</w:t>
            </w:r>
          </w:p>
        </w:tc>
      </w:tr>
    </w:tbl>
    <w:p w14:paraId="63FC15DD" w14:textId="77777777" w:rsidR="00083DBA" w:rsidRDefault="00083DBA">
      <w:pPr>
        <w:spacing w:before="240"/>
      </w:pPr>
    </w:p>
    <w:p w14:paraId="58DFA423" w14:textId="77777777" w:rsidR="00083DBA" w:rsidRDefault="00000000">
      <w:pPr>
        <w:pStyle w:val="Heading1"/>
      </w:pPr>
      <w:r>
        <w:t>Using This Model in Practice</w:t>
      </w:r>
    </w:p>
    <w:p w14:paraId="16A8BF4A" w14:textId="77777777" w:rsidR="00083DBA" w:rsidRDefault="00000000">
      <w:pPr>
        <w:pStyle w:val="Heading2"/>
      </w:pPr>
      <w:r>
        <w:t>As a Project Kickoff Tool</w:t>
      </w:r>
    </w:p>
    <w:p w14:paraId="62BF34ED" w14:textId="77777777" w:rsidR="00083DBA" w:rsidRDefault="00000000">
      <w:pPr>
        <w:spacing w:before="80" w:after="80"/>
      </w:pPr>
      <w:r>
        <w:rPr>
          <w:color w:val="1A1A1A"/>
        </w:rPr>
        <w:t>At the start of any IIoT integration or brownfield modernization initiative, score each of the seven elements from 1–5:</w:t>
      </w:r>
    </w:p>
    <w:p w14:paraId="5C5E4708" w14:textId="77777777" w:rsidR="00083DBA" w:rsidRDefault="00083DBA">
      <w:pPr>
        <w:spacing w:before="120"/>
      </w:pPr>
    </w:p>
    <w:p w14:paraId="14574175" w14:textId="77777777" w:rsidR="0026142A" w:rsidRDefault="0026142A">
      <w:pPr>
        <w:spacing w:before="120"/>
      </w:pPr>
    </w:p>
    <w:p w14:paraId="5B35887D" w14:textId="77777777" w:rsidR="001A52D7" w:rsidRDefault="001A52D7">
      <w:pPr>
        <w:spacing w:before="12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7380"/>
      </w:tblGrid>
      <w:tr w:rsidR="00083DBA" w14:paraId="6E88E8B9" w14:textId="77777777">
        <w:trPr>
          <w:cantSplit/>
        </w:trPr>
        <w:tc>
          <w:tcPr>
            <w:tcW w:w="1100" w:type="dxa"/>
            <w:tcBorders>
              <w:top w:val="none" w:sz="0" w:space="0" w:color="FFFFFF"/>
              <w:left w:val="none" w:sz="0" w:space="0" w:color="FFFFFF"/>
              <w:bottom w:val="none" w:sz="0" w:space="0" w:color="FFFFFF"/>
              <w:right w:val="none" w:sz="0" w:space="0" w:color="FFFFFF"/>
            </w:tcBorders>
            <w:shd w:val="clear" w:color="auto" w:fill="1A9E8F"/>
            <w:tcMar>
              <w:top w:w="110" w:type="dxa"/>
              <w:left w:w="120" w:type="dxa"/>
              <w:bottom w:w="110" w:type="dxa"/>
              <w:right w:w="100" w:type="dxa"/>
            </w:tcMar>
          </w:tcPr>
          <w:p w14:paraId="27D7DD11" w14:textId="77777777" w:rsidR="00083DBA" w:rsidRDefault="00000000">
            <w:r>
              <w:rPr>
                <w:b/>
                <w:bCs/>
                <w:color w:val="FFFFFF"/>
              </w:rPr>
              <w:t>Score</w:t>
            </w:r>
          </w:p>
        </w:tc>
        <w:tc>
          <w:tcPr>
            <w:tcW w:w="1600" w:type="dxa"/>
            <w:tcBorders>
              <w:top w:val="none" w:sz="0" w:space="0" w:color="FFFFFF"/>
              <w:left w:val="none" w:sz="0" w:space="0" w:color="FFFFFF"/>
              <w:bottom w:val="none" w:sz="0" w:space="0" w:color="FFFFFF"/>
              <w:right w:val="none" w:sz="0" w:space="0" w:color="FFFFFF"/>
            </w:tcBorders>
            <w:shd w:val="clear" w:color="auto" w:fill="1A9E8F"/>
            <w:tcMar>
              <w:top w:w="110" w:type="dxa"/>
              <w:left w:w="120" w:type="dxa"/>
              <w:bottom w:w="110" w:type="dxa"/>
              <w:right w:w="100" w:type="dxa"/>
            </w:tcMar>
          </w:tcPr>
          <w:p w14:paraId="1F48A2E1" w14:textId="77777777" w:rsidR="00083DBA" w:rsidRDefault="00000000">
            <w:r>
              <w:rPr>
                <w:b/>
                <w:bCs/>
                <w:color w:val="FFFFFF"/>
              </w:rPr>
              <w:t>Level</w:t>
            </w:r>
          </w:p>
        </w:tc>
        <w:tc>
          <w:tcPr>
            <w:tcW w:w="7380" w:type="dxa"/>
            <w:tcBorders>
              <w:top w:val="none" w:sz="0" w:space="0" w:color="FFFFFF"/>
              <w:left w:val="none" w:sz="0" w:space="0" w:color="FFFFFF"/>
              <w:bottom w:val="none" w:sz="0" w:space="0" w:color="FFFFFF"/>
              <w:right w:val="none" w:sz="0" w:space="0" w:color="FFFFFF"/>
            </w:tcBorders>
            <w:shd w:val="clear" w:color="auto" w:fill="1A9E8F"/>
            <w:tcMar>
              <w:top w:w="110" w:type="dxa"/>
              <w:left w:w="120" w:type="dxa"/>
              <w:bottom w:w="110" w:type="dxa"/>
              <w:right w:w="100" w:type="dxa"/>
            </w:tcMar>
          </w:tcPr>
          <w:p w14:paraId="409D5313" w14:textId="77777777" w:rsidR="00083DBA" w:rsidRDefault="00000000">
            <w:r>
              <w:rPr>
                <w:b/>
                <w:bCs/>
                <w:color w:val="FFFFFF"/>
              </w:rPr>
              <w:t>Criteria</w:t>
            </w:r>
          </w:p>
        </w:tc>
      </w:tr>
      <w:tr w:rsidR="00083DBA" w14:paraId="5E9E9A8B" w14:textId="77777777">
        <w:trPr>
          <w:cantSplit/>
        </w:trPr>
        <w:tc>
          <w:tcPr>
            <w:tcW w:w="11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55505D5" w14:textId="77777777" w:rsidR="00083DBA" w:rsidRDefault="00000000">
            <w:r>
              <w:rPr>
                <w:b/>
                <w:bCs/>
                <w:color w:val="1A9E8F"/>
              </w:rPr>
              <w:t>1</w:t>
            </w:r>
          </w:p>
        </w:tc>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79CD8355" w14:textId="77777777" w:rsidR="00083DBA" w:rsidRDefault="00000000">
            <w:r>
              <w:rPr>
                <w:b/>
                <w:bCs/>
                <w:color w:val="1A1A1A"/>
              </w:rPr>
              <w:t>Absent</w:t>
            </w:r>
          </w:p>
        </w:tc>
        <w:tc>
          <w:tcPr>
            <w:tcW w:w="73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5C34549B" w14:textId="77777777" w:rsidR="00083DBA" w:rsidRDefault="00000000">
            <w:r>
              <w:rPr>
                <w:color w:val="1A1A1A"/>
              </w:rPr>
              <w:t>Element does not exist. No shared understanding, no artifacts, no owner.</w:t>
            </w:r>
          </w:p>
        </w:tc>
      </w:tr>
      <w:tr w:rsidR="00083DBA" w14:paraId="2AE0BB88" w14:textId="77777777">
        <w:trPr>
          <w:cantSplit/>
        </w:trPr>
        <w:tc>
          <w:tcPr>
            <w:tcW w:w="11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059BB758" w14:textId="77777777" w:rsidR="00083DBA" w:rsidRDefault="00000000">
            <w:r>
              <w:rPr>
                <w:b/>
                <w:bCs/>
                <w:color w:val="1A9E8F"/>
              </w:rPr>
              <w:t>2</w:t>
            </w:r>
          </w:p>
        </w:tc>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41D54D36" w14:textId="77777777" w:rsidR="00083DBA" w:rsidRDefault="00000000">
            <w:r>
              <w:rPr>
                <w:b/>
                <w:bCs/>
                <w:color w:val="1A1A1A"/>
              </w:rPr>
              <w:t>Emerging</w:t>
            </w:r>
          </w:p>
        </w:tc>
        <w:tc>
          <w:tcPr>
            <w:tcW w:w="73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2EFFEAD5" w14:textId="77777777" w:rsidR="00083DBA" w:rsidRDefault="00000000">
            <w:r>
              <w:rPr>
                <w:color w:val="1A1A1A"/>
              </w:rPr>
              <w:t xml:space="preserve">Awareness exists but </w:t>
            </w:r>
            <w:proofErr w:type="gramStart"/>
            <w:r>
              <w:rPr>
                <w:color w:val="1A1A1A"/>
              </w:rPr>
              <w:t>no</w:t>
            </w:r>
            <w:proofErr w:type="gramEnd"/>
            <w:r>
              <w:rPr>
                <w:color w:val="1A1A1A"/>
              </w:rPr>
              <w:t xml:space="preserve"> formal definition. Discussed but not documented or agreed.</w:t>
            </w:r>
          </w:p>
        </w:tc>
      </w:tr>
      <w:tr w:rsidR="00083DBA" w14:paraId="4AFB3DDA" w14:textId="77777777">
        <w:trPr>
          <w:cantSplit/>
        </w:trPr>
        <w:tc>
          <w:tcPr>
            <w:tcW w:w="11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0A871532" w14:textId="77777777" w:rsidR="00083DBA" w:rsidRDefault="00000000">
            <w:r>
              <w:rPr>
                <w:b/>
                <w:bCs/>
                <w:color w:val="1A9E8F"/>
              </w:rPr>
              <w:t>3</w:t>
            </w:r>
          </w:p>
        </w:tc>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7B44C8E5" w14:textId="77777777" w:rsidR="00083DBA" w:rsidRDefault="00000000">
            <w:r>
              <w:rPr>
                <w:b/>
                <w:bCs/>
                <w:color w:val="1A1A1A"/>
              </w:rPr>
              <w:t>Defined</w:t>
            </w:r>
          </w:p>
        </w:tc>
        <w:tc>
          <w:tcPr>
            <w:tcW w:w="73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8DC0011" w14:textId="77777777" w:rsidR="00083DBA" w:rsidRDefault="00000000">
            <w:r>
              <w:rPr>
                <w:color w:val="1A1A1A"/>
              </w:rPr>
              <w:t>Element is documented and agreed upon but not yet operationalized or tested.</w:t>
            </w:r>
          </w:p>
        </w:tc>
      </w:tr>
      <w:tr w:rsidR="00083DBA" w14:paraId="3F5B462F" w14:textId="77777777">
        <w:trPr>
          <w:cantSplit/>
        </w:trPr>
        <w:tc>
          <w:tcPr>
            <w:tcW w:w="11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2380BE72" w14:textId="77777777" w:rsidR="00083DBA" w:rsidRDefault="00000000">
            <w:r>
              <w:rPr>
                <w:b/>
                <w:bCs/>
                <w:color w:val="1A9E8F"/>
              </w:rPr>
              <w:t>4</w:t>
            </w:r>
          </w:p>
        </w:tc>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D16E49F" w14:textId="77777777" w:rsidR="00083DBA" w:rsidRDefault="00000000">
            <w:r>
              <w:rPr>
                <w:b/>
                <w:bCs/>
                <w:color w:val="1A1A1A"/>
              </w:rPr>
              <w:t>Active</w:t>
            </w:r>
          </w:p>
        </w:tc>
        <w:tc>
          <w:tcPr>
            <w:tcW w:w="73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24D6D00" w14:textId="77777777" w:rsidR="00083DBA" w:rsidRDefault="00000000">
            <w:r>
              <w:rPr>
                <w:color w:val="1A1A1A"/>
              </w:rPr>
              <w:t>Element is in place and actively being used to guide decisions and track progress.</w:t>
            </w:r>
          </w:p>
        </w:tc>
      </w:tr>
      <w:tr w:rsidR="00083DBA" w14:paraId="251C294E" w14:textId="77777777">
        <w:trPr>
          <w:cantSplit/>
        </w:trPr>
        <w:tc>
          <w:tcPr>
            <w:tcW w:w="11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2BA040DB" w14:textId="77777777" w:rsidR="00083DBA" w:rsidRDefault="00000000">
            <w:r>
              <w:rPr>
                <w:b/>
                <w:bCs/>
                <w:color w:val="1A9E8F"/>
              </w:rPr>
              <w:t>5</w:t>
            </w:r>
          </w:p>
        </w:tc>
        <w:tc>
          <w:tcPr>
            <w:tcW w:w="160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3DE4EBD9" w14:textId="77777777" w:rsidR="00083DBA" w:rsidRDefault="00000000">
            <w:r>
              <w:rPr>
                <w:b/>
                <w:bCs/>
                <w:color w:val="1A1A1A"/>
              </w:rPr>
              <w:t>Embedded</w:t>
            </w:r>
          </w:p>
        </w:tc>
        <w:tc>
          <w:tcPr>
            <w:tcW w:w="7380" w:type="dxa"/>
            <w:tcBorders>
              <w:top w:val="none" w:sz="0" w:space="0" w:color="FFFFFF"/>
              <w:left w:val="none" w:sz="0" w:space="0" w:color="FFFFFF"/>
              <w:bottom w:val="single" w:sz="1" w:space="0" w:color="CCCCCC"/>
              <w:right w:val="none" w:sz="0" w:space="0" w:color="FFFFFF"/>
            </w:tcBorders>
            <w:tcMar>
              <w:top w:w="100" w:type="dxa"/>
              <w:left w:w="120" w:type="dxa"/>
              <w:bottom w:w="100" w:type="dxa"/>
              <w:right w:w="100" w:type="dxa"/>
            </w:tcMar>
          </w:tcPr>
          <w:p w14:paraId="1238B8F4" w14:textId="77777777" w:rsidR="00083DBA" w:rsidRDefault="00000000">
            <w:r>
              <w:rPr>
                <w:color w:val="1A1A1A"/>
              </w:rPr>
              <w:t>Element is institutionalized. Reviewed regularly, updated as conditions change, drives all project decisions.</w:t>
            </w:r>
          </w:p>
        </w:tc>
      </w:tr>
    </w:tbl>
    <w:p w14:paraId="446965CF" w14:textId="77777777" w:rsidR="00083DBA" w:rsidRDefault="00083DBA">
      <w:pPr>
        <w:spacing w:before="140"/>
      </w:pPr>
    </w:p>
    <w:p w14:paraId="1A739330" w14:textId="77777777" w:rsidR="00083DBA" w:rsidRDefault="00000000">
      <w:pPr>
        <w:spacing w:before="80" w:after="80"/>
      </w:pPr>
      <w:r>
        <w:rPr>
          <w:color w:val="1A1A1A"/>
        </w:rPr>
        <w:t xml:space="preserve">Any element scoring 1 or 2 represents a critical gap that will produce its associated failure mode unless addressed before or alongside the technical work. Do not proceed </w:t>
      </w:r>
      <w:proofErr w:type="gramStart"/>
      <w:r>
        <w:rPr>
          <w:color w:val="1A1A1A"/>
        </w:rPr>
        <w:t>to</w:t>
      </w:r>
      <w:proofErr w:type="gramEnd"/>
      <w:r>
        <w:rPr>
          <w:color w:val="1A1A1A"/>
        </w:rPr>
        <w:t xml:space="preserve"> deployment phases with unresolved critical gaps.</w:t>
      </w:r>
    </w:p>
    <w:p w14:paraId="5EE25BDF" w14:textId="77777777" w:rsidR="00083DBA" w:rsidRDefault="00083DBA">
      <w:pPr>
        <w:spacing w:before="180"/>
      </w:pPr>
    </w:p>
    <w:p w14:paraId="2CEB6622" w14:textId="77777777" w:rsidR="00083DBA" w:rsidRDefault="00000000">
      <w:pPr>
        <w:pStyle w:val="Heading2"/>
      </w:pPr>
      <w:r>
        <w:t>As an Ongoing Governance Tool</w:t>
      </w:r>
    </w:p>
    <w:p w14:paraId="5DBA044F" w14:textId="77777777" w:rsidR="00083DBA" w:rsidRDefault="00000000">
      <w:pPr>
        <w:spacing w:before="80" w:after="80"/>
      </w:pPr>
      <w:r>
        <w:rPr>
          <w:color w:val="1A1A1A"/>
        </w:rPr>
        <w:t>Re-score all seven elements at each project phase gate and at the quarterly Steering Committee review. Element scores change — a Vision that was clear at kickoff can erode after leadership changes or after the first major technical setback. Strategy that was sound at the start may need revision when new constraints emerge from the plant floor. The model is a living diagnostic, not a one-time assessment.</w:t>
      </w:r>
    </w:p>
    <w:p w14:paraId="4444425C" w14:textId="77777777" w:rsidR="00083DBA" w:rsidRDefault="00083DBA">
      <w:pPr>
        <w:spacing w:before="180"/>
      </w:pPr>
    </w:p>
    <w:p w14:paraId="09B2A056" w14:textId="77777777" w:rsidR="00083DBA" w:rsidRDefault="00000000">
      <w:pPr>
        <w:pStyle w:val="Heading2"/>
      </w:pPr>
      <w:r>
        <w:t>As a Stakeholder Communication Tool</w:t>
      </w:r>
    </w:p>
    <w:p w14:paraId="24BDBFB6" w14:textId="77777777" w:rsidR="00083DBA" w:rsidRDefault="00000000">
      <w:pPr>
        <w:spacing w:before="80" w:after="80"/>
      </w:pPr>
      <w:r>
        <w:rPr>
          <w:color w:val="1A1A1A"/>
        </w:rPr>
        <w:t>The diagram is deliberately simple enough to present to operations leadership, plant managers, and executives without technical background. Use it to explain why the initiative needs investment in multiple dimensions simultaneously — not just technology, but also training, governance, and planning. It reframes budget requests: 'We need funding for capability development' becomes 'Without Capabilities, we will deliver Underdeveloped Execution — here is the model that shows why.'</w:t>
      </w:r>
    </w:p>
    <w:p w14:paraId="1E707300" w14:textId="77777777" w:rsidR="00083DBA" w:rsidRDefault="00083DBA">
      <w:pPr>
        <w:spacing w:before="240"/>
      </w:pPr>
    </w:p>
    <w:p w14:paraId="5AF87E39" w14:textId="77777777" w:rsidR="00083DBA" w:rsidRDefault="00000000">
      <w:pPr>
        <w:pStyle w:val="Heading1"/>
      </w:pPr>
      <w:r>
        <w:t>Brownfield-Specific Considerations</w:t>
      </w:r>
    </w:p>
    <w:p w14:paraId="0A0F2588" w14:textId="77777777" w:rsidR="00083DBA" w:rsidRDefault="00000000">
      <w:pPr>
        <w:spacing w:before="80" w:after="80"/>
      </w:pPr>
      <w:r>
        <w:rPr>
          <w:color w:val="1A1A1A"/>
        </w:rPr>
        <w:t>Brownfield IIoT integration carries unique risk factors that amplify each failure mode. These considerations should be explicitly addressed in each element of the model.</w:t>
      </w:r>
    </w:p>
    <w:p w14:paraId="021F7733" w14:textId="77777777" w:rsidR="00083DBA" w:rsidRDefault="00083DBA">
      <w:pPr>
        <w:spacing w:before="120"/>
      </w:pPr>
    </w:p>
    <w:p w14:paraId="0C2C9A20" w14:textId="77777777" w:rsidR="00083DBA" w:rsidRDefault="00000000">
      <w:pPr>
        <w:pStyle w:val="Heading3"/>
      </w:pPr>
      <w:r>
        <w:t>Legacy Protocol Risk</w:t>
      </w:r>
    </w:p>
    <w:p w14:paraId="262172C1" w14:textId="77777777" w:rsidR="00083DBA" w:rsidRDefault="00000000">
      <w:pPr>
        <w:spacing w:before="80" w:after="80"/>
      </w:pPr>
      <w:r>
        <w:rPr>
          <w:color w:val="1A1A1A"/>
        </w:rPr>
        <w:t>Brownfield environments contain decades of proprietary protocols — Allen-Bradley DF1, Modbus RTU, Profibus, OPC Classic — that require protocol-specific expertise and often purpose-built edge translation. The Capabilities element must account for this explicitly. A strategy that assumes native MQTT support from 20-year-old PLCs will fail in execution.</w:t>
      </w:r>
    </w:p>
    <w:p w14:paraId="6C3C1843" w14:textId="77777777" w:rsidR="00083DBA" w:rsidRDefault="00083DBA">
      <w:pPr>
        <w:spacing w:before="100"/>
      </w:pPr>
    </w:p>
    <w:p w14:paraId="587BC234" w14:textId="77777777" w:rsidR="00083DBA" w:rsidRDefault="00000000">
      <w:pPr>
        <w:pStyle w:val="Heading3"/>
      </w:pPr>
      <w:r>
        <w:t>Production Continuity Constraint</w:t>
      </w:r>
    </w:p>
    <w:p w14:paraId="1ED630DD" w14:textId="77777777" w:rsidR="00083DBA" w:rsidRDefault="00000000">
      <w:pPr>
        <w:spacing w:before="80" w:after="80"/>
      </w:pPr>
      <w:r>
        <w:rPr>
          <w:color w:val="1A1A1A"/>
        </w:rPr>
        <w:t>Any integration that touches a live production network carries risk. The Strategy and Roadmap elements must build in risk mitigation: read-only data extraction architectures, tested rollback procedures, and changes scheduled during production downtime windows. The Architecture element should enforce a hard boundary between data extraction and control logic.</w:t>
      </w:r>
    </w:p>
    <w:p w14:paraId="1A1D5E50" w14:textId="77777777" w:rsidR="00083DBA" w:rsidRDefault="00083DBA">
      <w:pPr>
        <w:spacing w:before="100"/>
      </w:pPr>
    </w:p>
    <w:p w14:paraId="73B7D63C" w14:textId="77777777" w:rsidR="00083DBA" w:rsidRDefault="00000000">
      <w:pPr>
        <w:pStyle w:val="Heading3"/>
      </w:pPr>
      <w:r>
        <w:t>Change Management at the Operator Level</w:t>
      </w:r>
    </w:p>
    <w:p w14:paraId="6EA2BE52" w14:textId="77777777" w:rsidR="00083DBA" w:rsidRDefault="00000000">
      <w:pPr>
        <w:spacing w:before="80" w:after="80"/>
      </w:pPr>
      <w:r>
        <w:rPr>
          <w:color w:val="1A1A1A"/>
        </w:rPr>
        <w:t>IIoT projects often fail at the human layer, not the technical layer. Operators who have worked without digital visibility for years may distrust new dashboards or resist changes to established workflows. The Vision element must address what is in it for the operator — not just leadership. The Capabilities element should include operator training, not just engineering training.</w:t>
      </w:r>
    </w:p>
    <w:p w14:paraId="746C39CF" w14:textId="77777777" w:rsidR="00083DBA" w:rsidRDefault="00083DBA">
      <w:pPr>
        <w:spacing w:before="100"/>
      </w:pPr>
    </w:p>
    <w:p w14:paraId="76F2BB4C" w14:textId="77777777" w:rsidR="00083DBA" w:rsidRDefault="00000000">
      <w:pPr>
        <w:pStyle w:val="Heading3"/>
      </w:pPr>
      <w:r>
        <w:t>Data Quality and Context</w:t>
      </w:r>
    </w:p>
    <w:p w14:paraId="5908519D" w14:textId="77777777" w:rsidR="00083DBA" w:rsidRDefault="00000000">
      <w:pPr>
        <w:spacing w:before="80" w:after="80"/>
      </w:pPr>
      <w:r>
        <w:rPr>
          <w:color w:val="1A1A1A"/>
        </w:rPr>
        <w:t>Raw data from legacy PLCs is often not self-describing. Tag names may be cryptic, engineering units may be absent, and context required to make data useful may exist only in the heads of experienced operators. The Architecture element must include a data contextualization layer — the process of mapping raw PLC addresses to meaningful, standardized UNS topic structures — as a first-class deliverable, not an afterthought.</w:t>
      </w:r>
    </w:p>
    <w:p w14:paraId="2F2FC961" w14:textId="77777777" w:rsidR="00083DBA" w:rsidRDefault="00083DBA">
      <w:pPr>
        <w:spacing w:before="240"/>
      </w:pPr>
    </w:p>
    <w:p w14:paraId="574D63CE" w14:textId="77777777" w:rsidR="00083DBA" w:rsidRDefault="00083DBA">
      <w:pPr>
        <w:pBdr>
          <w:bottom w:val="single" w:sz="6" w:space="1" w:color="1A9E8F"/>
        </w:pBdr>
        <w:spacing w:before="120" w:after="120"/>
      </w:pPr>
    </w:p>
    <w:p w14:paraId="4EFAC04F" w14:textId="77777777" w:rsidR="00083DBA" w:rsidRDefault="00000000">
      <w:pPr>
        <w:spacing w:before="160" w:after="100"/>
      </w:pPr>
      <w:r>
        <w:rPr>
          <w:b/>
          <w:bCs/>
          <w:color w:val="1A6E65"/>
          <w:sz w:val="30"/>
          <w:szCs w:val="30"/>
        </w:rPr>
        <w:t>References &amp; Further Reading</w:t>
      </w:r>
    </w:p>
    <w:p w14:paraId="04B074D0" w14:textId="77777777" w:rsidR="00083DBA" w:rsidRDefault="00000000">
      <w:pPr>
        <w:spacing w:before="80" w:after="80"/>
      </w:pPr>
      <w:r>
        <w:rPr>
          <w:color w:val="1A1A1A"/>
        </w:rPr>
        <w:t>Lippitt, M. (1987). The Managing Complex Change Model. Enterprise Management Ltd.</w:t>
      </w:r>
    </w:p>
    <w:p w14:paraId="007E0870" w14:textId="77777777" w:rsidR="00083DBA" w:rsidRDefault="00000000">
      <w:pPr>
        <w:spacing w:before="80" w:after="80"/>
      </w:pPr>
      <w:r>
        <w:rPr>
          <w:color w:val="1A1A1A"/>
        </w:rPr>
        <w:t>Knoster, T. (1991). Presentation at TASH Conference. Washington D.C.</w:t>
      </w:r>
    </w:p>
    <w:p w14:paraId="7E165EFD" w14:textId="77777777" w:rsidR="00083DBA" w:rsidRDefault="00000000">
      <w:pPr>
        <w:spacing w:before="80" w:after="80"/>
      </w:pPr>
      <w:r>
        <w:rPr>
          <w:color w:val="1A1A1A"/>
        </w:rPr>
        <w:t>Winter, J. Digital Transformation adaptation of the Lippitt-Knoster Model. jeffwinter.io</w:t>
      </w:r>
    </w:p>
    <w:p w14:paraId="3B4719DB" w14:textId="77777777" w:rsidR="00083DBA" w:rsidRDefault="00000000">
      <w:pPr>
        <w:spacing w:before="80" w:after="80"/>
      </w:pPr>
      <w:r>
        <w:rPr>
          <w:color w:val="1A1A1A"/>
        </w:rPr>
        <w:t>Walker Reynolds, 4.0 Solutions — Unified Namespace architecture and IIoT design principles.</w:t>
      </w:r>
    </w:p>
    <w:p w14:paraId="31B7B502" w14:textId="77777777" w:rsidR="00083DBA" w:rsidRDefault="00000000">
      <w:pPr>
        <w:spacing w:before="80" w:after="80"/>
      </w:pPr>
      <w:r>
        <w:rPr>
          <w:color w:val="1A1A1A"/>
        </w:rPr>
        <w:t>ISA-95: Enterprise-Control System Integration standard. International Society of Automation.</w:t>
      </w:r>
    </w:p>
    <w:p w14:paraId="6FA7EE62" w14:textId="77777777" w:rsidR="00083DBA" w:rsidRDefault="00000000">
      <w:pPr>
        <w:spacing w:before="80" w:after="80"/>
      </w:pPr>
      <w:r>
        <w:rPr>
          <w:color w:val="1A1A1A"/>
        </w:rPr>
        <w:t>ISA/IEC 62443: Security for Industrial Automation and Control Systems.</w:t>
      </w:r>
    </w:p>
    <w:p w14:paraId="18710B95" w14:textId="77777777" w:rsidR="00083DBA" w:rsidRDefault="00000000">
      <w:pPr>
        <w:spacing w:before="80" w:after="80"/>
      </w:pPr>
      <w:r>
        <w:rPr>
          <w:color w:val="1A1A1A"/>
        </w:rPr>
        <w:t>MQTT 3.1.1 Specification / OASIS Standard. Sparkplug B Specification. Eclipse Foundation.</w:t>
      </w:r>
    </w:p>
    <w:p w14:paraId="43D60ED9" w14:textId="77777777" w:rsidR="00083DBA" w:rsidRDefault="00000000">
      <w:pPr>
        <w:spacing w:before="80" w:after="80"/>
      </w:pPr>
      <w:r>
        <w:rPr>
          <w:color w:val="1A1A1A"/>
        </w:rPr>
        <w:t>Wayne Welk, wawelk.org — PLC-to-IIoT bridge patterns and brownfield integration methods.</w:t>
      </w:r>
    </w:p>
    <w:sectPr w:rsidR="00083DBA">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CF9D" w14:textId="77777777" w:rsidR="00AC1105" w:rsidRDefault="00AC1105">
      <w:r>
        <w:separator/>
      </w:r>
    </w:p>
  </w:endnote>
  <w:endnote w:type="continuationSeparator" w:id="0">
    <w:p w14:paraId="01799B53" w14:textId="77777777" w:rsidR="00AC1105" w:rsidRDefault="00AC1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FF9" w14:textId="77777777" w:rsidR="00083DBA" w:rsidRDefault="00000000">
    <w:pPr>
      <w:pBdr>
        <w:top w:val="single" w:sz="4" w:space="1" w:color="1A9E8F"/>
      </w:pBdr>
      <w:tabs>
        <w:tab w:val="right" w:pos="10080"/>
      </w:tabs>
      <w:spacing w:before="140"/>
    </w:pPr>
    <w:r>
      <w:rPr>
        <w:color w:val="888888"/>
        <w:sz w:val="20"/>
        <w:szCs w:val="20"/>
      </w:rPr>
      <w:t>Adaptation: Lippitt-</w:t>
    </w:r>
    <w:proofErr w:type="spellStart"/>
    <w:r>
      <w:rPr>
        <w:color w:val="888888"/>
        <w:sz w:val="20"/>
        <w:szCs w:val="20"/>
      </w:rPr>
      <w:t>Knoster</w:t>
    </w:r>
    <w:proofErr w:type="spellEnd"/>
    <w:r>
      <w:rPr>
        <w:color w:val="888888"/>
        <w:sz w:val="20"/>
        <w:szCs w:val="20"/>
      </w:rPr>
      <w:t xml:space="preserve"> (1987) / </w:t>
    </w:r>
    <w:proofErr w:type="spellStart"/>
    <w:r>
      <w:rPr>
        <w:color w:val="888888"/>
        <w:sz w:val="20"/>
        <w:szCs w:val="20"/>
      </w:rPr>
      <w:t>Knoster</w:t>
    </w:r>
    <w:proofErr w:type="spellEnd"/>
    <w:r>
      <w:rPr>
        <w:color w:val="888888"/>
        <w:sz w:val="20"/>
        <w:szCs w:val="20"/>
      </w:rPr>
      <w:t xml:space="preserve"> (1991</w:t>
    </w:r>
    <w:proofErr w:type="gramStart"/>
    <w:r>
      <w:rPr>
        <w:color w:val="888888"/>
        <w:sz w:val="20"/>
        <w:szCs w:val="20"/>
      </w:rPr>
      <w:t>)  ·</w:t>
    </w:r>
    <w:proofErr w:type="gramEnd"/>
    <w:r>
      <w:rPr>
        <w:color w:val="888888"/>
        <w:sz w:val="20"/>
        <w:szCs w:val="20"/>
      </w:rPr>
      <w:t xml:space="preserve">  Digital transformation framing: Jeff Winter</w:t>
    </w:r>
    <w:r>
      <w:rPr>
        <w:color w:val="888888"/>
        <w:sz w:val="20"/>
        <w:szCs w:val="20"/>
      </w:rPr>
      <w:tab/>
      <w:t xml:space="preserve">Page </w:t>
    </w:r>
    <w:r>
      <w:fldChar w:fldCharType="begin"/>
    </w:r>
    <w:r>
      <w:instrText>PAGE</w:instrText>
    </w:r>
    <w:r>
      <w:fldChar w:fldCharType="separate"/>
    </w:r>
    <w:r w:rsidR="0026142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5E87" w14:textId="77777777" w:rsidR="00083DBA" w:rsidRDefault="00000000">
    <w:pPr>
      <w:pBdr>
        <w:top w:val="single" w:sz="4" w:space="1" w:color="1A9E8F"/>
      </w:pBdr>
      <w:tabs>
        <w:tab w:val="right" w:pos="14400"/>
      </w:tabs>
      <w:spacing w:before="140"/>
    </w:pPr>
    <w:r>
      <w:rPr>
        <w:color w:val="888888"/>
        <w:sz w:val="20"/>
        <w:szCs w:val="20"/>
      </w:rPr>
      <w:t>Adaptation: Lippitt-</w:t>
    </w:r>
    <w:proofErr w:type="spellStart"/>
    <w:r>
      <w:rPr>
        <w:color w:val="888888"/>
        <w:sz w:val="20"/>
        <w:szCs w:val="20"/>
      </w:rPr>
      <w:t>Knoster</w:t>
    </w:r>
    <w:proofErr w:type="spellEnd"/>
    <w:r>
      <w:rPr>
        <w:color w:val="888888"/>
        <w:sz w:val="20"/>
        <w:szCs w:val="20"/>
      </w:rPr>
      <w:t xml:space="preserve"> (1987) / </w:t>
    </w:r>
    <w:proofErr w:type="spellStart"/>
    <w:r>
      <w:rPr>
        <w:color w:val="888888"/>
        <w:sz w:val="20"/>
        <w:szCs w:val="20"/>
      </w:rPr>
      <w:t>Knoster</w:t>
    </w:r>
    <w:proofErr w:type="spellEnd"/>
    <w:r>
      <w:rPr>
        <w:color w:val="888888"/>
        <w:sz w:val="20"/>
        <w:szCs w:val="20"/>
      </w:rPr>
      <w:t xml:space="preserve"> (1991</w:t>
    </w:r>
    <w:proofErr w:type="gramStart"/>
    <w:r>
      <w:rPr>
        <w:color w:val="888888"/>
        <w:sz w:val="20"/>
        <w:szCs w:val="20"/>
      </w:rPr>
      <w:t>)  ·</w:t>
    </w:r>
    <w:proofErr w:type="gramEnd"/>
    <w:r>
      <w:rPr>
        <w:color w:val="888888"/>
        <w:sz w:val="20"/>
        <w:szCs w:val="20"/>
      </w:rPr>
      <w:t xml:space="preserve">  Digital transformation framing: Jeff Winter</w:t>
    </w:r>
    <w:r>
      <w:rPr>
        <w:color w:val="888888"/>
        <w:sz w:val="20"/>
        <w:szCs w:val="20"/>
      </w:rPr>
      <w:tab/>
      <w:t xml:space="preserve">Page </w:t>
    </w:r>
    <w:r>
      <w:fldChar w:fldCharType="begin"/>
    </w:r>
    <w:r>
      <w:instrText>PAGE</w:instrText>
    </w:r>
    <w:r>
      <w:fldChar w:fldCharType="separate"/>
    </w:r>
    <w:r w:rsidR="0026142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2C56" w14:textId="70325A37" w:rsidR="00083DBA" w:rsidRDefault="00000000">
    <w:pPr>
      <w:pBdr>
        <w:top w:val="single" w:sz="4" w:space="1" w:color="1A9E8F"/>
      </w:pBdr>
      <w:tabs>
        <w:tab w:val="right" w:pos="10080"/>
      </w:tabs>
      <w:spacing w:before="140"/>
    </w:pPr>
    <w:r>
      <w:rPr>
        <w:color w:val="888888"/>
        <w:sz w:val="20"/>
        <w:szCs w:val="20"/>
      </w:rPr>
      <w:t>Adaptation: Lippitt-</w:t>
    </w:r>
    <w:proofErr w:type="spellStart"/>
    <w:r>
      <w:rPr>
        <w:color w:val="888888"/>
        <w:sz w:val="20"/>
        <w:szCs w:val="20"/>
      </w:rPr>
      <w:t>Knoster</w:t>
    </w:r>
    <w:proofErr w:type="spellEnd"/>
    <w:r>
      <w:rPr>
        <w:color w:val="888888"/>
        <w:sz w:val="20"/>
        <w:szCs w:val="20"/>
      </w:rPr>
      <w:t xml:space="preserve"> (1987) / </w:t>
    </w:r>
    <w:proofErr w:type="spellStart"/>
    <w:r>
      <w:rPr>
        <w:color w:val="888888"/>
        <w:sz w:val="20"/>
        <w:szCs w:val="20"/>
      </w:rPr>
      <w:t>Knoster</w:t>
    </w:r>
    <w:proofErr w:type="spellEnd"/>
    <w:r>
      <w:rPr>
        <w:color w:val="888888"/>
        <w:sz w:val="20"/>
        <w:szCs w:val="20"/>
      </w:rPr>
      <w:t xml:space="preserve"> (1991</w:t>
    </w:r>
    <w:proofErr w:type="gramStart"/>
    <w:r>
      <w:rPr>
        <w:color w:val="888888"/>
        <w:sz w:val="20"/>
        <w:szCs w:val="20"/>
      </w:rPr>
      <w:t>)  ·</w:t>
    </w:r>
    <w:proofErr w:type="gramEnd"/>
    <w:r>
      <w:rPr>
        <w:color w:val="888888"/>
        <w:sz w:val="20"/>
        <w:szCs w:val="20"/>
      </w:rPr>
      <w:t xml:space="preserve">  Digital transformation framing: Jeff Winter</w:t>
    </w:r>
    <w:r>
      <w:rPr>
        <w:color w:val="888888"/>
        <w:sz w:val="20"/>
        <w:szCs w:val="20"/>
      </w:rPr>
      <w:tab/>
      <w:t xml:space="preserve">Page </w:t>
    </w:r>
    <w:r>
      <w:fldChar w:fldCharType="begin"/>
    </w:r>
    <w:r>
      <w:instrText>PAGE</w:instrText>
    </w:r>
    <w:r>
      <w:fldChar w:fldCharType="separate"/>
    </w:r>
    <w:r w:rsidR="0026142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C35D" w14:textId="77777777" w:rsidR="00AC1105" w:rsidRDefault="00AC1105">
      <w:r>
        <w:separator/>
      </w:r>
    </w:p>
  </w:footnote>
  <w:footnote w:type="continuationSeparator" w:id="0">
    <w:p w14:paraId="765CF404" w14:textId="77777777" w:rsidR="00AC1105" w:rsidRDefault="00AC1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234E" w14:textId="77777777" w:rsidR="00083DBA" w:rsidRDefault="00000000">
    <w:pPr>
      <w:pBdr>
        <w:bottom w:val="single" w:sz="4" w:space="1" w:color="1A9E8F"/>
      </w:pBdr>
      <w:spacing w:after="140"/>
    </w:pPr>
    <w:r>
      <w:rPr>
        <w:color w:val="888888"/>
        <w:sz w:val="20"/>
        <w:szCs w:val="20"/>
      </w:rPr>
      <w:t>Lippitt-</w:t>
    </w:r>
    <w:proofErr w:type="spellStart"/>
    <w:r>
      <w:rPr>
        <w:color w:val="888888"/>
        <w:sz w:val="20"/>
        <w:szCs w:val="20"/>
      </w:rPr>
      <w:t>Knoster</w:t>
    </w:r>
    <w:proofErr w:type="spellEnd"/>
    <w:r>
      <w:rPr>
        <w:color w:val="888888"/>
        <w:sz w:val="20"/>
        <w:szCs w:val="20"/>
      </w:rPr>
      <w:t xml:space="preserve"> </w:t>
    </w:r>
    <w:proofErr w:type="gramStart"/>
    <w:r>
      <w:rPr>
        <w:color w:val="888888"/>
        <w:sz w:val="20"/>
        <w:szCs w:val="20"/>
      </w:rPr>
      <w:t>Model  |</w:t>
    </w:r>
    <w:proofErr w:type="gramEnd"/>
    <w:r>
      <w:rPr>
        <w:color w:val="888888"/>
        <w:sz w:val="20"/>
        <w:szCs w:val="20"/>
      </w:rPr>
      <w:t xml:space="preserve">  </w:t>
    </w:r>
    <w:proofErr w:type="spellStart"/>
    <w:r>
      <w:rPr>
        <w:color w:val="888888"/>
        <w:sz w:val="20"/>
        <w:szCs w:val="20"/>
      </w:rPr>
      <w:t>IIoT</w:t>
    </w:r>
    <w:proofErr w:type="spellEnd"/>
    <w:r>
      <w:rPr>
        <w:color w:val="888888"/>
        <w:sz w:val="20"/>
        <w:szCs w:val="20"/>
      </w:rPr>
      <w:t xml:space="preserve"> &amp; Brownfield Modernization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3997" w14:textId="77777777" w:rsidR="00083DBA" w:rsidRDefault="00000000">
    <w:pPr>
      <w:pBdr>
        <w:bottom w:val="single" w:sz="4" w:space="1" w:color="1A9E8F"/>
      </w:pBdr>
      <w:spacing w:after="140"/>
    </w:pPr>
    <w:r>
      <w:rPr>
        <w:color w:val="888888"/>
        <w:sz w:val="20"/>
        <w:szCs w:val="20"/>
      </w:rPr>
      <w:t>Lippitt-</w:t>
    </w:r>
    <w:proofErr w:type="spellStart"/>
    <w:r>
      <w:rPr>
        <w:color w:val="888888"/>
        <w:sz w:val="20"/>
        <w:szCs w:val="20"/>
      </w:rPr>
      <w:t>Knoster</w:t>
    </w:r>
    <w:proofErr w:type="spellEnd"/>
    <w:r>
      <w:rPr>
        <w:color w:val="888888"/>
        <w:sz w:val="20"/>
        <w:szCs w:val="20"/>
      </w:rPr>
      <w:t xml:space="preserve"> </w:t>
    </w:r>
    <w:proofErr w:type="gramStart"/>
    <w:r>
      <w:rPr>
        <w:color w:val="888888"/>
        <w:sz w:val="20"/>
        <w:szCs w:val="20"/>
      </w:rPr>
      <w:t>Model  |</w:t>
    </w:r>
    <w:proofErr w:type="gramEnd"/>
    <w:r>
      <w:rPr>
        <w:color w:val="888888"/>
        <w:sz w:val="20"/>
        <w:szCs w:val="20"/>
      </w:rPr>
      <w:t xml:space="preserve">  </w:t>
    </w:r>
    <w:proofErr w:type="spellStart"/>
    <w:r>
      <w:rPr>
        <w:color w:val="888888"/>
        <w:sz w:val="20"/>
        <w:szCs w:val="20"/>
      </w:rPr>
      <w:t>IIoT</w:t>
    </w:r>
    <w:proofErr w:type="spellEnd"/>
    <w:r>
      <w:rPr>
        <w:color w:val="888888"/>
        <w:sz w:val="20"/>
        <w:szCs w:val="20"/>
      </w:rPr>
      <w:t xml:space="preserve"> &amp; Brownfield Modernization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4566" w14:textId="77777777" w:rsidR="00083DBA" w:rsidRDefault="00000000">
    <w:pPr>
      <w:pBdr>
        <w:bottom w:val="single" w:sz="4" w:space="1" w:color="1A9E8F"/>
      </w:pBdr>
      <w:spacing w:after="140"/>
    </w:pPr>
    <w:r>
      <w:rPr>
        <w:color w:val="888888"/>
        <w:sz w:val="20"/>
        <w:szCs w:val="20"/>
      </w:rPr>
      <w:t>Lippitt-</w:t>
    </w:r>
    <w:proofErr w:type="spellStart"/>
    <w:r>
      <w:rPr>
        <w:color w:val="888888"/>
        <w:sz w:val="20"/>
        <w:szCs w:val="20"/>
      </w:rPr>
      <w:t>Knoster</w:t>
    </w:r>
    <w:proofErr w:type="spellEnd"/>
    <w:r>
      <w:rPr>
        <w:color w:val="888888"/>
        <w:sz w:val="20"/>
        <w:szCs w:val="20"/>
      </w:rPr>
      <w:t xml:space="preserve"> </w:t>
    </w:r>
    <w:proofErr w:type="gramStart"/>
    <w:r>
      <w:rPr>
        <w:color w:val="888888"/>
        <w:sz w:val="20"/>
        <w:szCs w:val="20"/>
      </w:rPr>
      <w:t>Model  |</w:t>
    </w:r>
    <w:proofErr w:type="gramEnd"/>
    <w:r>
      <w:rPr>
        <w:color w:val="888888"/>
        <w:sz w:val="20"/>
        <w:szCs w:val="20"/>
      </w:rPr>
      <w:t xml:space="preserve">  </w:t>
    </w:r>
    <w:proofErr w:type="spellStart"/>
    <w:r>
      <w:rPr>
        <w:color w:val="888888"/>
        <w:sz w:val="20"/>
        <w:szCs w:val="20"/>
      </w:rPr>
      <w:t>IIoT</w:t>
    </w:r>
    <w:proofErr w:type="spellEnd"/>
    <w:r>
      <w:rPr>
        <w:color w:val="888888"/>
        <w:sz w:val="20"/>
        <w:szCs w:val="20"/>
      </w:rPr>
      <w:t xml:space="preserve"> &amp; Brownfield Modernization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6938"/>
    <w:multiLevelType w:val="hybridMultilevel"/>
    <w:tmpl w:val="B434BBD0"/>
    <w:lvl w:ilvl="0" w:tplc="ACBAFF70">
      <w:start w:val="1"/>
      <w:numFmt w:val="bullet"/>
      <w:lvlText w:val="•"/>
      <w:lvlJc w:val="left"/>
      <w:pPr>
        <w:ind w:left="720" w:hanging="360"/>
      </w:pPr>
    </w:lvl>
    <w:lvl w:ilvl="1" w:tplc="EFA2B008">
      <w:numFmt w:val="decimal"/>
      <w:lvlText w:val=""/>
      <w:lvlJc w:val="left"/>
    </w:lvl>
    <w:lvl w:ilvl="2" w:tplc="C3367F84">
      <w:numFmt w:val="decimal"/>
      <w:lvlText w:val=""/>
      <w:lvlJc w:val="left"/>
    </w:lvl>
    <w:lvl w:ilvl="3" w:tplc="78826FEA">
      <w:numFmt w:val="decimal"/>
      <w:lvlText w:val=""/>
      <w:lvlJc w:val="left"/>
    </w:lvl>
    <w:lvl w:ilvl="4" w:tplc="BCE07482">
      <w:numFmt w:val="decimal"/>
      <w:lvlText w:val=""/>
      <w:lvlJc w:val="left"/>
    </w:lvl>
    <w:lvl w:ilvl="5" w:tplc="221C0738">
      <w:numFmt w:val="decimal"/>
      <w:lvlText w:val=""/>
      <w:lvlJc w:val="left"/>
    </w:lvl>
    <w:lvl w:ilvl="6" w:tplc="709EC472">
      <w:numFmt w:val="decimal"/>
      <w:lvlText w:val=""/>
      <w:lvlJc w:val="left"/>
    </w:lvl>
    <w:lvl w:ilvl="7" w:tplc="049AEEA0">
      <w:numFmt w:val="decimal"/>
      <w:lvlText w:val=""/>
      <w:lvlJc w:val="left"/>
    </w:lvl>
    <w:lvl w:ilvl="8" w:tplc="27DC85BA">
      <w:numFmt w:val="decimal"/>
      <w:lvlText w:val=""/>
      <w:lvlJc w:val="left"/>
    </w:lvl>
  </w:abstractNum>
  <w:abstractNum w:abstractNumId="1" w15:restartNumberingAfterBreak="0">
    <w:nsid w:val="49F454B6"/>
    <w:multiLevelType w:val="hybridMultilevel"/>
    <w:tmpl w:val="2BFE26D2"/>
    <w:lvl w:ilvl="0" w:tplc="8BAA8D54">
      <w:start w:val="1"/>
      <w:numFmt w:val="bullet"/>
      <w:lvlText w:val="•"/>
      <w:lvlJc w:val="left"/>
      <w:pPr>
        <w:ind w:left="720" w:hanging="360"/>
      </w:pPr>
    </w:lvl>
    <w:lvl w:ilvl="1" w:tplc="4BF43928">
      <w:numFmt w:val="decimal"/>
      <w:lvlText w:val=""/>
      <w:lvlJc w:val="left"/>
    </w:lvl>
    <w:lvl w:ilvl="2" w:tplc="2892C916">
      <w:numFmt w:val="decimal"/>
      <w:lvlText w:val=""/>
      <w:lvlJc w:val="left"/>
    </w:lvl>
    <w:lvl w:ilvl="3" w:tplc="EAE4CC54">
      <w:numFmt w:val="decimal"/>
      <w:lvlText w:val=""/>
      <w:lvlJc w:val="left"/>
    </w:lvl>
    <w:lvl w:ilvl="4" w:tplc="524ED394">
      <w:numFmt w:val="decimal"/>
      <w:lvlText w:val=""/>
      <w:lvlJc w:val="left"/>
    </w:lvl>
    <w:lvl w:ilvl="5" w:tplc="5C020C68">
      <w:numFmt w:val="decimal"/>
      <w:lvlText w:val=""/>
      <w:lvlJc w:val="left"/>
    </w:lvl>
    <w:lvl w:ilvl="6" w:tplc="755E23AC">
      <w:numFmt w:val="decimal"/>
      <w:lvlText w:val=""/>
      <w:lvlJc w:val="left"/>
    </w:lvl>
    <w:lvl w:ilvl="7" w:tplc="C68C6040">
      <w:numFmt w:val="decimal"/>
      <w:lvlText w:val=""/>
      <w:lvlJc w:val="left"/>
    </w:lvl>
    <w:lvl w:ilvl="8" w:tplc="F2A8AFC6">
      <w:numFmt w:val="decimal"/>
      <w:lvlText w:val=""/>
      <w:lvlJc w:val="left"/>
    </w:lvl>
  </w:abstractNum>
  <w:abstractNum w:abstractNumId="2" w15:restartNumberingAfterBreak="0">
    <w:nsid w:val="664A619F"/>
    <w:multiLevelType w:val="hybridMultilevel"/>
    <w:tmpl w:val="E00E2A8A"/>
    <w:lvl w:ilvl="0" w:tplc="43C2B936">
      <w:start w:val="1"/>
      <w:numFmt w:val="bullet"/>
      <w:lvlText w:val="●"/>
      <w:lvlJc w:val="left"/>
      <w:pPr>
        <w:ind w:left="720" w:hanging="360"/>
      </w:pPr>
    </w:lvl>
    <w:lvl w:ilvl="1" w:tplc="F5C6624C">
      <w:start w:val="1"/>
      <w:numFmt w:val="bullet"/>
      <w:lvlText w:val="○"/>
      <w:lvlJc w:val="left"/>
      <w:pPr>
        <w:ind w:left="1440" w:hanging="360"/>
      </w:pPr>
    </w:lvl>
    <w:lvl w:ilvl="2" w:tplc="6E8A365A">
      <w:start w:val="1"/>
      <w:numFmt w:val="bullet"/>
      <w:lvlText w:val="■"/>
      <w:lvlJc w:val="left"/>
      <w:pPr>
        <w:ind w:left="2160" w:hanging="360"/>
      </w:pPr>
    </w:lvl>
    <w:lvl w:ilvl="3" w:tplc="677ED0DA">
      <w:start w:val="1"/>
      <w:numFmt w:val="bullet"/>
      <w:lvlText w:val="●"/>
      <w:lvlJc w:val="left"/>
      <w:pPr>
        <w:ind w:left="2880" w:hanging="360"/>
      </w:pPr>
    </w:lvl>
    <w:lvl w:ilvl="4" w:tplc="C51681D8">
      <w:start w:val="1"/>
      <w:numFmt w:val="bullet"/>
      <w:lvlText w:val="○"/>
      <w:lvlJc w:val="left"/>
      <w:pPr>
        <w:ind w:left="3600" w:hanging="360"/>
      </w:pPr>
    </w:lvl>
    <w:lvl w:ilvl="5" w:tplc="B09A8F38">
      <w:start w:val="1"/>
      <w:numFmt w:val="bullet"/>
      <w:lvlText w:val="■"/>
      <w:lvlJc w:val="left"/>
      <w:pPr>
        <w:ind w:left="4320" w:hanging="360"/>
      </w:pPr>
    </w:lvl>
    <w:lvl w:ilvl="6" w:tplc="E31AF334">
      <w:start w:val="1"/>
      <w:numFmt w:val="bullet"/>
      <w:lvlText w:val="●"/>
      <w:lvlJc w:val="left"/>
      <w:pPr>
        <w:ind w:left="5040" w:hanging="360"/>
      </w:pPr>
    </w:lvl>
    <w:lvl w:ilvl="7" w:tplc="9E5CA178">
      <w:start w:val="1"/>
      <w:numFmt w:val="bullet"/>
      <w:lvlText w:val="●"/>
      <w:lvlJc w:val="left"/>
      <w:pPr>
        <w:ind w:left="5760" w:hanging="360"/>
      </w:pPr>
    </w:lvl>
    <w:lvl w:ilvl="8" w:tplc="190E7052">
      <w:start w:val="1"/>
      <w:numFmt w:val="bullet"/>
      <w:lvlText w:val="●"/>
      <w:lvlJc w:val="left"/>
      <w:pPr>
        <w:ind w:left="6480" w:hanging="360"/>
      </w:pPr>
    </w:lvl>
  </w:abstractNum>
  <w:num w:numId="1" w16cid:durableId="963998760">
    <w:abstractNumId w:val="2"/>
    <w:lvlOverride w:ilvl="0">
      <w:startOverride w:val="1"/>
    </w:lvlOverride>
  </w:num>
  <w:num w:numId="2" w16cid:durableId="818225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DBA"/>
    <w:rsid w:val="00083DBA"/>
    <w:rsid w:val="0008705A"/>
    <w:rsid w:val="001A52D7"/>
    <w:rsid w:val="001D711E"/>
    <w:rsid w:val="0026142A"/>
    <w:rsid w:val="004C537E"/>
    <w:rsid w:val="00522DBD"/>
    <w:rsid w:val="005F63DF"/>
    <w:rsid w:val="00AC1105"/>
    <w:rsid w:val="00CB1752"/>
    <w:rsid w:val="00DC54AD"/>
    <w:rsid w:val="00E31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D61A"/>
  <w15:docId w15:val="{D1A3616F-DBCC-4F9A-8426-75CC2DD9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57A6E"/>
      <w:sz w:val="38"/>
      <w:szCs w:val="38"/>
    </w:rPr>
  </w:style>
  <w:style w:type="paragraph" w:styleId="Heading2">
    <w:name w:val="heading 2"/>
    <w:uiPriority w:val="9"/>
    <w:unhideWhenUsed/>
    <w:qFormat/>
    <w:pPr>
      <w:spacing w:before="280" w:after="120"/>
      <w:outlineLvl w:val="1"/>
    </w:pPr>
    <w:rPr>
      <w:b/>
      <w:bCs/>
      <w:color w:val="1A6E65"/>
      <w:sz w:val="30"/>
      <w:szCs w:val="30"/>
    </w:rPr>
  </w:style>
  <w:style w:type="paragraph" w:styleId="Heading3">
    <w:name w:val="heading 3"/>
    <w:uiPriority w:val="9"/>
    <w:unhideWhenUsed/>
    <w:qFormat/>
    <w:pPr>
      <w:spacing w:before="220" w:after="80"/>
      <w:outlineLvl w:val="2"/>
    </w:pPr>
    <w:rPr>
      <w:b/>
      <w:bCs/>
      <w:color w:val="1A6E6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2827</Words>
  <Characters>17054</Characters>
  <Application>Microsoft Office Word</Application>
  <DocSecurity>0</DocSecurity>
  <Lines>529</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Field</cp:lastModifiedBy>
  <cp:revision>6</cp:revision>
  <cp:lastPrinted>2026-03-29T17:07:00Z</cp:lastPrinted>
  <dcterms:created xsi:type="dcterms:W3CDTF">2026-03-29T16:33:00Z</dcterms:created>
  <dcterms:modified xsi:type="dcterms:W3CDTF">2026-04-10T03:31:00Z</dcterms:modified>
</cp:coreProperties>
</file>