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100" w:before="80"/>
            </w:pPr>
            <w:r>
              <w:rPr>
                <w:rFonts w:ascii="Arial" w:cs="Arial" w:eastAsia="Arial" w:hAnsi="Arial"/>
                <w:b w:val="false"/>
                <w:bCs w:val="false"/>
                <w:i w:val="false"/>
                <w:iCs w:val="false"/>
                <w:color w:val="00ACC1"/>
                <w:sz w:val="20"/>
                <w:szCs w:val="20"/>
              </w:rPr>
              <w:t xml:space="preserve">LOOGOOTEE MFG. — TRAINING SIMULATION</w:t>
            </w:r>
          </w:p>
          <w:p>
            <w:pPr>
              <w:spacing w:after="40" w:before="80"/>
            </w:pPr>
            <w:r>
              <w:rPr>
                <w:rFonts w:ascii="Arial" w:cs="Arial" w:eastAsia="Arial" w:hAnsi="Arial"/>
                <w:b/>
                <w:bCs/>
                <w:i w:val="false"/>
                <w:iCs w:val="false"/>
                <w:color w:val="FFFFFF"/>
                <w:sz w:val="44"/>
                <w:szCs w:val="44"/>
              </w:rPr>
              <w:t xml:space="preserve">IIoT Modernization</w:t>
            </w:r>
          </w:p>
          <w:p>
            <w:pPr>
              <w:spacing w:after="180" w:before="0"/>
            </w:pPr>
            <w:r>
              <w:rPr>
                <w:rFonts w:ascii="Arial" w:cs="Arial" w:eastAsia="Arial" w:hAnsi="Arial"/>
                <w:b/>
                <w:bCs/>
                <w:i w:val="false"/>
                <w:iCs w:val="false"/>
                <w:color w:val="7799CC"/>
                <w:sz w:val="32"/>
                <w:szCs w:val="32"/>
              </w:rPr>
              <w:t xml:space="preserve">Project Scope of Work</w:t>
            </w:r>
          </w:p>
          <w:p>
            <w:pPr>
              <w:pBdr>
                <w:bottom w:val="single" w:color="4477AA" w:sz="2" w:space="1"/>
              </w:pBdr>
              <w:spacing w:after="0" w:before="0"/>
            </w:pPr>
            <w:r>
              <w:t xml:space="preserve"/>
            </w:r>
          </w:p>
          <w:p>
            <w:pPr>
              <w:spacing w:after="40" w:before="120"/>
            </w:pPr>
            <w:r>
              <w:rPr>
                <w:rFonts w:ascii="Arial" w:cs="Arial" w:eastAsia="Arial" w:hAnsi="Arial"/>
                <w:b w:val="false"/>
                <w:bCs w:val="false"/>
                <w:i/>
                <w:iCs/>
                <w:color w:val="00ACC1"/>
                <w:sz w:val="18"/>
                <w:szCs w:val="18"/>
              </w:rPr>
              <w:t xml:space="preserve">Prepared by: Jeremy Field  ·  Loogootee Mfg., Inc.  ·  April 2026</w:t>
            </w:r>
          </w:p>
          <w:p>
            <w:pPr>
              <w:spacing w:after="80" w:before="80"/>
            </w:pPr>
            <w:r>
              <w:rPr>
                <w:rFonts w:ascii="Arial" w:cs="Arial" w:eastAsia="Arial" w:hAnsi="Arial"/>
                <w:b w:val="false"/>
                <w:bCs w:val="false"/>
                <w:i/>
                <w:iCs/>
                <w:color w:val="445566"/>
                <w:sz w:val="16"/>
                <w:szCs w:val="16"/>
              </w:rPr>
              <w:t xml:space="preserve">Version 1.2  ·  Training Simulation — Not for Distribution</w:t>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spacing w:after="60" w:before="60"/>
            </w:pPr>
            <w:r>
              <w:rPr>
                <w:rFonts w:ascii="Arial" w:cs="Arial" w:eastAsia="Arial" w:hAnsi="Arial"/>
                <w:b/>
                <w:bCs/>
                <w:i w:val="false"/>
                <w:iCs w:val="false"/>
                <w:color w:val="E65100"/>
                <w:sz w:val="17"/>
                <w:szCs w:val="17"/>
              </w:rPr>
              <w:t xml:space="preserve">TRAINING SIMULATION  </w:t>
            </w:r>
            <w:r>
              <w:rPr>
                <w:rFonts w:ascii="Arial" w:cs="Arial" w:eastAsia="Arial" w:hAnsi="Arial"/>
                <w:b w:val="false"/>
                <w:bCs w:val="false"/>
                <w:i w:val="false"/>
                <w:iCs w:val="false"/>
                <w:color w:val="E65100"/>
                <w:sz w:val="17"/>
                <w:szCs w:val="17"/>
              </w:rPr>
              <w:t xml:space="preserve">This document is a simulated integration project scope created as a professional training exercise. Loogootee Mfg., Inc. is a fictional company. All facility descriptions, equipment lists, and operational details are illustrative. No actual customer data, proprietary information, or confidential business records are represented.</w:t>
            </w:r>
          </w:p>
        </w:tc>
      </w:tr>
    </w:tbl>
    <w:p>
      <w:pPr>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  </w:t>
            </w:r>
            <w:r>
              <w:rPr>
                <w:rFonts w:ascii="Arial" w:cs="Arial" w:eastAsia="Arial" w:hAnsi="Arial"/>
                <w:b/>
                <w:bCs/>
                <w:i w:val="false"/>
                <w:iCs w:val="false"/>
                <w:color w:val="FFFFFF"/>
                <w:sz w:val="22"/>
                <w:szCs w:val="22"/>
              </w:rPr>
              <w:t xml:space="preserve">EXECUTIVE SUMMARY</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Loogootee Manufacturing, Inc. is a mid-size precision metal stamping company serving medical supply manufacturers from two facilities in Loogootee, Illinois. The company operates approximately 20 production machines across its stamping and finishing site and a separate packaging facility located one block away in the same industrial park.</w:t>
      </w:r>
    </w:p>
    <w:p>
      <w:pPr>
        <w:spacing w:after="120" w:before="0" w:line="320"/>
      </w:pPr>
      <w:r>
        <w:rPr>
          <w:rFonts w:ascii="Arial" w:cs="Arial" w:eastAsia="Arial" w:hAnsi="Arial"/>
          <w:b w:val="false"/>
          <w:bCs w:val="false"/>
          <w:i w:val="false"/>
          <w:iCs w:val="false"/>
          <w:color w:val="1A1A1A"/>
          <w:sz w:val="19"/>
          <w:szCs w:val="19"/>
        </w:rPr>
        <w:t xml:space="preserve">Despite decades of successful operation, the company currently has no automated production data collection infrastructure. Machine performance, output rates, scrap quantities, and downtime events are recorded manually by operators on paper travelers and entered into spreadsheets after the fact. The result is a significant and growing gap between actual operational performance and management visibility — a gap that has begun to measurably erode profitability as material costs increase and customer quality requirements intensify.</w:t>
      </w:r>
    </w:p>
    <w:p>
      <w:pPr>
        <w:spacing w:after="120" w:before="0" w:line="320"/>
      </w:pPr>
      <w:r>
        <w:rPr>
          <w:rFonts w:ascii="Arial" w:cs="Arial" w:eastAsia="Arial" w:hAnsi="Arial"/>
          <w:b w:val="false"/>
          <w:bCs w:val="false"/>
          <w:i w:val="false"/>
          <w:iCs w:val="false"/>
          <w:color w:val="1A1A1A"/>
          <w:sz w:val="19"/>
          <w:szCs w:val="19"/>
        </w:rPr>
        <w:t xml:space="preserve">This document defines the scope of work for a phased IIoT modernization program that will connect all production equipment across both facilities to a Unified Namespace — a single real-time data infrastructure providing live production visibility, OEE tracking, historian data, cross-site coordination, IO-Link smart sensor integration, predictive maintenance capability, and a formal independence validation exercise confirming that the client organization can operate and extend the integrated system without integrator involvement.</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~175</w:t>
            </w:r>
          </w:p>
          <w:p>
            <w:pPr>
              <w:spacing w:after="60" w:before="0"/>
              <w:jc w:val="center"/>
            </w:pPr>
            <w:r>
              <w:rPr>
                <w:rFonts w:ascii="Arial" w:cs="Arial" w:eastAsia="Arial" w:hAnsi="Arial"/>
                <w:b w:val="false"/>
                <w:bCs w:val="false"/>
                <w:i w:val="false"/>
                <w:iCs w:val="false"/>
                <w:color w:val="7799CC"/>
                <w:sz w:val="15"/>
                <w:szCs w:val="15"/>
              </w:rPr>
              <w:t xml:space="preserve">Employees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$25-40M</w:t>
            </w:r>
          </w:p>
          <w:p>
            <w:pPr>
              <w:spacing w:after="60" w:before="0"/>
              <w:jc w:val="center"/>
            </w:pPr>
            <w:r>
              <w:rPr>
                <w:rFonts w:ascii="Arial" w:cs="Arial" w:eastAsia="Arial" w:hAnsi="Arial"/>
                <w:b w:val="false"/>
                <w:bCs w:val="false"/>
                <w:i w:val="false"/>
                <w:iCs w:val="false"/>
                <w:color w:val="7799CC"/>
                <w:sz w:val="15"/>
                <w:szCs w:val="15"/>
              </w:rPr>
              <w:t xml:space="preserve">Annual Revenue</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2</w:t>
            </w:r>
          </w:p>
          <w:p>
            <w:pPr>
              <w:spacing w:after="60" w:before="0"/>
              <w:jc w:val="center"/>
            </w:pPr>
            <w:r>
              <w:rPr>
                <w:rFonts w:ascii="Arial" w:cs="Arial" w:eastAsia="Arial" w:hAnsi="Arial"/>
                <w:b w:val="false"/>
                <w:bCs w:val="false"/>
                <w:i w:val="false"/>
                <w:iCs w:val="false"/>
                <w:color w:val="7799CC"/>
                <w:sz w:val="15"/>
                <w:szCs w:val="15"/>
              </w:rPr>
              <w:t xml:space="preserve">Facilities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20+</w:t>
            </w:r>
          </w:p>
          <w:p>
            <w:pPr>
              <w:spacing w:after="60" w:before="0"/>
              <w:jc w:val="center"/>
            </w:pPr>
            <w:r>
              <w:rPr>
                <w:rFonts w:ascii="Arial" w:cs="Arial" w:eastAsia="Arial" w:hAnsi="Arial"/>
                <w:b w:val="false"/>
                <w:bCs w:val="false"/>
                <w:i w:val="false"/>
                <w:iCs w:val="false"/>
                <w:color w:val="7799CC"/>
                <w:sz w:val="15"/>
                <w:szCs w:val="15"/>
              </w:rPr>
              <w:t xml:space="preserve">Production Machines</w:t>
            </w:r>
          </w:p>
        </w:tc>
        <w:tc>
          <w:tcPr>
            <w:tcW w:type="dxa" w:w="1872"/>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tcPr>
          <w:p>
            <w:pPr>
              <w:spacing w:after="40" w:before="60"/>
              <w:jc w:val="center"/>
            </w:pPr>
            <w:r>
              <w:rPr>
                <w:rFonts w:ascii="Arial" w:cs="Arial" w:eastAsia="Arial" w:hAnsi="Arial"/>
                <w:b/>
                <w:bCs/>
                <w:i w:val="false"/>
                <w:iCs w:val="false"/>
                <w:color w:val="00ACC1"/>
                <w:sz w:val="36"/>
                <w:szCs w:val="36"/>
              </w:rPr>
              <w:t xml:space="preserve">0</w:t>
            </w:r>
          </w:p>
          <w:p>
            <w:pPr>
              <w:spacing w:after="60" w:before="0"/>
              <w:jc w:val="center"/>
            </w:pPr>
            <w:r>
              <w:rPr>
                <w:rFonts w:ascii="Arial" w:cs="Arial" w:eastAsia="Arial" w:hAnsi="Arial"/>
                <w:b w:val="false"/>
                <w:bCs w:val="false"/>
                <w:i w:val="false"/>
                <w:iCs w:val="false"/>
                <w:color w:val="7799CC"/>
                <w:sz w:val="15"/>
                <w:szCs w:val="15"/>
              </w:rPr>
              <w:t xml:space="preserve">Automated Data Points</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1.  </w:t>
            </w:r>
            <w:r>
              <w:rPr>
                <w:rFonts w:ascii="Arial" w:cs="Arial" w:eastAsia="Arial" w:hAnsi="Arial"/>
                <w:b/>
                <w:bCs/>
                <w:i w:val="false"/>
                <w:iCs w:val="false"/>
                <w:color w:val="FFFFFF"/>
                <w:sz w:val="22"/>
                <w:szCs w:val="22"/>
              </w:rPr>
              <w:t xml:space="preserve">COMPANY BACKGROUND</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1.1  Company History</w:t>
      </w:r>
    </w:p>
    <w:p>
      <w:pPr>
        <w:spacing w:after="120" w:before="0" w:line="320"/>
      </w:pPr>
      <w:r>
        <w:rPr>
          <w:rFonts w:ascii="Arial" w:cs="Arial" w:eastAsia="Arial" w:hAnsi="Arial"/>
          <w:b w:val="false"/>
          <w:bCs w:val="false"/>
          <w:i w:val="false"/>
          <w:iCs w:val="false"/>
          <w:color w:val="1A1A1A"/>
          <w:sz w:val="19"/>
          <w:szCs w:val="19"/>
        </w:rPr>
        <w:t xml:space="preserve">Loogootee Manufacturing was established in the mid-1970s as a precision metal stamping operation serving industrial OEM customers in the midwest. The company built its reputation on close-tolerance stamped and formed metal components, developing long-term relationships with customers in the automotive, agricultural, and industrial equipment sectors.</w:t>
      </w:r>
    </w:p>
    <w:p>
      <w:pPr>
        <w:spacing w:after="120" w:before="0" w:line="320"/>
      </w:pPr>
      <w:r>
        <w:rPr>
          <w:rFonts w:ascii="Arial" w:cs="Arial" w:eastAsia="Arial" w:hAnsi="Arial"/>
          <w:b w:val="false"/>
          <w:bCs w:val="false"/>
          <w:i w:val="false"/>
          <w:iCs w:val="false"/>
          <w:color w:val="1A1A1A"/>
          <w:sz w:val="19"/>
          <w:szCs w:val="19"/>
        </w:rPr>
        <w:t xml:space="preserve">In the late 1980s and early 1990s the company invested in its first generation of programmable control systems, replacing relay-based machine controls with early Allen-Bradley PLC platforms. This modernization improved reliability but did not include any data collection capability beyond basic machine status indication.</w:t>
      </w:r>
    </w:p>
    <w:p>
      <w:pPr>
        <w:spacing w:after="120" w:before="0" w:line="320"/>
      </w:pPr>
      <w:r>
        <w:rPr>
          <w:rFonts w:ascii="Arial" w:cs="Arial" w:eastAsia="Arial" w:hAnsi="Arial"/>
          <w:b w:val="false"/>
          <w:bCs w:val="false"/>
          <w:i w:val="false"/>
          <w:iCs w:val="false"/>
          <w:color w:val="1A1A1A"/>
          <w:sz w:val="19"/>
          <w:szCs w:val="19"/>
        </w:rPr>
        <w:t xml:space="preserve">A strategic shift in the early 2000s repositioned the company toward the medical supply manufacturing sector. Medical supply OEM customers now represent the majority of annual revenue.</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1.2  Recent Expansion</w:t>
      </w:r>
    </w:p>
    <w:p>
      <w:pPr>
        <w:spacing w:after="120" w:before="0" w:line="320"/>
      </w:pPr>
      <w:r>
        <w:rPr>
          <w:rFonts w:ascii="Arial" w:cs="Arial" w:eastAsia="Arial" w:hAnsi="Arial"/>
          <w:b w:val="false"/>
          <w:bCs w:val="false"/>
          <w:i w:val="false"/>
          <w:iCs w:val="false"/>
          <w:color w:val="1A1A1A"/>
          <w:sz w:val="19"/>
          <w:szCs w:val="19"/>
        </w:rPr>
        <w:t xml:space="preserve">Demand growth in the mid-2010s created capacity pressure at the original facility. Packaging and warehousing operations were relocated to a second facility approximately one block away to accommodate new washing and finishing equipment. The two facilities now operate as a sequential production flow: Site 1 produces, washes, and inspects finished stampings; Site 2 packages, labels, and ships to customer.</w:t>
      </w:r>
    </w:p>
    <w:p>
      <w:pPr>
        <w:spacing w:after="120" w:before="0" w:line="320"/>
      </w:pPr>
      <w:r>
        <w:rPr>
          <w:rFonts w:ascii="Arial" w:cs="Arial" w:eastAsia="Arial" w:hAnsi="Arial"/>
          <w:b w:val="false"/>
          <w:bCs w:val="false"/>
          <w:i w:val="false"/>
          <w:iCs w:val="false"/>
          <w:color w:val="1A1A1A"/>
          <w:sz w:val="19"/>
          <w:szCs w:val="19"/>
        </w:rPr>
        <w:t xml:space="preserve">The expansion introduced a new operational challenge: the two sites have no electronic data connection. Finished part counts, quality status, and production records transfer between facilities on paper travelers. Discrepancies between Site 1 output counts and Site 2 receiving counts are common, unresolved, and untracked.</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1.3  Current Control Infrastructure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2000"/>
        <w:gridCol w:w="1200"/>
        <w:gridCol w:w="1400"/>
        <w:gridCol w:w="2360"/>
      </w:tblGrid>
      <w:tr>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Equipment</w:t>
            </w:r>
          </w:p>
        </w:tc>
        <w:tc>
          <w:tcPr>
            <w:tcW w:type="dxa" w:w="20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Control Platform</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Vintage</w:t>
            </w:r>
          </w:p>
        </w:tc>
        <w:tc>
          <w:tcPr>
            <w:tcW w:type="dxa" w:w="1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Site</w:t>
            </w:r>
          </w:p>
        </w:tc>
        <w:tc>
          <w:tcPr>
            <w:tcW w:type="dxa" w:w="2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Network Capability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Progressive Stamping Press ×2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MicroLogix 1400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2005-2008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EtherNet/IP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Stamping Press — Legacy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MicroLogix 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1998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DF1 Serial Only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Palletizer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Micro850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2012-2015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EtherNet/IP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Wash Line / Surface Treatment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CompactLogix L24ER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EtherNet/IP / OPC-UA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Safety Press with Light Curtain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GuardLogix + Point I/O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CIP Safety / EtherNet/IP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High Speed Forming Cell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Beckhoff CX5120 / EtherCAT 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EtherCAT / OPC-UA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Sort and Inspection Line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Siemens S7-1200 + ET200SP</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PROFINET / OPC-UA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Conveyor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Siemens S7-1200 + ET200SP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PROFINET / PROFIBUS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4 Variable Speed Drive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Allen-Bradley PowerFlex 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2008-2014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Modbus RTU via Serial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Packaging Equipment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Wago PFC200 750-8206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 2015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Native MQTT / Sparkplug B</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2.  </w:t>
            </w:r>
            <w:r>
              <w:rPr>
                <w:rFonts w:ascii="Arial" w:cs="Arial" w:eastAsia="Arial" w:hAnsi="Arial"/>
                <w:b/>
                <w:bCs/>
                <w:i w:val="false"/>
                <w:iCs w:val="false"/>
                <w:color w:val="FFFFFF"/>
                <w:sz w:val="22"/>
                <w:szCs w:val="22"/>
              </w:rPr>
              <w:t xml:space="preserve">PROBLEM STATEMENT &amp; BUSINESS IMPACT</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2.1  Operational Visibility</w:t>
      </w:r>
    </w:p>
    <w:p>
      <w:pPr>
        <w:spacing w:after="120" w:before="0" w:line="320"/>
      </w:pPr>
      <w:r>
        <w:rPr>
          <w:rFonts w:ascii="Arial" w:cs="Arial" w:eastAsia="Arial" w:hAnsi="Arial"/>
          <w:b w:val="false"/>
          <w:bCs w:val="false"/>
          <w:i w:val="false"/>
          <w:iCs w:val="false"/>
          <w:color w:val="1A1A1A"/>
          <w:sz w:val="19"/>
          <w:szCs w:val="19"/>
        </w:rPr>
        <w:t xml:space="preserve">Production performance is currently measured by end-of-shift manual counts recorded on paper travelers. Management has no real-time visibility into machine status, current production rate versus target, active faults, or shift performance.</w:t>
      </w:r>
    </w:p>
    <w:p>
      <w:pPr>
        <w:pBdr>
          <w:bottom w:val="single" w:color="2E5FAB" w:sz="2" w:space="2"/>
        </w:pBdr>
        <w:spacing w:after="80" w:before="280"/>
      </w:pPr>
      <w:r>
        <w:rPr>
          <w:rFonts w:ascii="Arial" w:cs="Arial" w:eastAsia="Arial" w:hAnsi="Arial"/>
          <w:b/>
          <w:bCs/>
          <w:i w:val="false"/>
          <w:iCs w:val="false"/>
          <w:color w:val="2E5FAB"/>
          <w:sz w:val="20"/>
          <w:szCs w:val="20"/>
        </w:rPr>
        <w:t xml:space="preserve">2.2  OEE and Efficiency</w:t>
      </w:r>
    </w:p>
    <w:p>
      <w:pPr>
        <w:spacing w:after="120" w:before="0" w:line="320"/>
      </w:pPr>
      <w:r>
        <w:rPr>
          <w:rFonts w:ascii="Arial" w:cs="Arial" w:eastAsia="Arial" w:hAnsi="Arial"/>
          <w:b w:val="false"/>
          <w:bCs w:val="false"/>
          <w:i w:val="false"/>
          <w:iCs w:val="false"/>
          <w:color w:val="1A1A1A"/>
          <w:sz w:val="19"/>
          <w:szCs w:val="19"/>
        </w:rPr>
        <w:t xml:space="preserve">Overall Equipment Effectiveness has never been formally calculated. The company cannot accurately determine whether it can meet production commitments before accepting customer orders.</w:t>
      </w:r>
    </w:p>
    <w:p>
      <w:pPr>
        <w:pBdr>
          <w:bottom w:val="single" w:color="2E5FAB" w:sz="2" w:space="2"/>
        </w:pBdr>
        <w:spacing w:after="80" w:before="280"/>
      </w:pPr>
      <w:r>
        <w:rPr>
          <w:rFonts w:ascii="Arial" w:cs="Arial" w:eastAsia="Arial" w:hAnsi="Arial"/>
          <w:b/>
          <w:bCs/>
          <w:i w:val="false"/>
          <w:iCs w:val="false"/>
          <w:color w:val="2E5FAB"/>
          <w:sz w:val="20"/>
          <w:szCs w:val="20"/>
        </w:rPr>
        <w:t xml:space="preserve">2.3  Maintenance and Downtime</w:t>
      </w:r>
    </w:p>
    <w:p>
      <w:pPr>
        <w:spacing w:after="120" w:before="0" w:line="320"/>
      </w:pPr>
      <w:r>
        <w:rPr>
          <w:rFonts w:ascii="Arial" w:cs="Arial" w:eastAsia="Arial" w:hAnsi="Arial"/>
          <w:b w:val="false"/>
          <w:bCs w:val="false"/>
          <w:i w:val="false"/>
          <w:iCs w:val="false"/>
          <w:color w:val="1A1A1A"/>
          <w:sz w:val="19"/>
          <w:szCs w:val="19"/>
        </w:rPr>
        <w:t xml:space="preserve">The maintenance workforce has experienced significant attrition as experienced technicians retire. Without downtime tracking data, the maintenance budget cannot be prioritized by actual need. Maintenance resources are allocated reactively.</w:t>
      </w:r>
    </w:p>
    <w:p>
      <w:pPr>
        <w:pBdr>
          <w:bottom w:val="single" w:color="2E5FAB" w:sz="2" w:space="2"/>
        </w:pBdr>
        <w:spacing w:after="80" w:before="280"/>
      </w:pPr>
      <w:r>
        <w:rPr>
          <w:rFonts w:ascii="Arial" w:cs="Arial" w:eastAsia="Arial" w:hAnsi="Arial"/>
          <w:b/>
          <w:bCs/>
          <w:i w:val="false"/>
          <w:iCs w:val="false"/>
          <w:color w:val="2E5FAB"/>
          <w:sz w:val="20"/>
          <w:szCs w:val="20"/>
        </w:rPr>
        <w:t xml:space="preserve">2.4  Material Cost and Scrap Impact</w:t>
      </w:r>
    </w:p>
    <w:p>
      <w:pPr>
        <w:spacing w:after="120" w:before="0" w:line="320"/>
      </w:pPr>
      <w:r>
        <w:rPr>
          <w:rFonts w:ascii="Arial" w:cs="Arial" w:eastAsia="Arial" w:hAnsi="Arial"/>
          <w:b w:val="false"/>
          <w:bCs w:val="false"/>
          <w:i w:val="false"/>
          <w:iCs w:val="false"/>
          <w:color w:val="1A1A1A"/>
          <w:sz w:val="19"/>
          <w:szCs w:val="19"/>
        </w:rPr>
        <w:t xml:space="preserve">Scrap rates are not systematically tracked. Management has identified that actual scrap rates are likely significantly higher than reported figures suggest.</w:t>
      </w:r>
    </w:p>
    <w:p>
      <w:pPr>
        <w:pBdr>
          <w:bottom w:val="single" w:color="2E5FAB" w:sz="2" w:space="2"/>
        </w:pBdr>
        <w:spacing w:after="80" w:before="280"/>
      </w:pPr>
      <w:r>
        <w:rPr>
          <w:rFonts w:ascii="Arial" w:cs="Arial" w:eastAsia="Arial" w:hAnsi="Arial"/>
          <w:b/>
          <w:bCs/>
          <w:i w:val="false"/>
          <w:iCs w:val="false"/>
          <w:color w:val="2E5FAB"/>
          <w:sz w:val="20"/>
          <w:szCs w:val="20"/>
        </w:rPr>
        <w:t xml:space="preserve">2.5  Customer and Regulatory Requirements</w:t>
      </w:r>
    </w:p>
    <w:p>
      <w:pPr>
        <w:spacing w:after="120" w:before="0" w:line="320"/>
      </w:pPr>
      <w:r>
        <w:rPr>
          <w:rFonts w:ascii="Arial" w:cs="Arial" w:eastAsia="Arial" w:hAnsi="Arial"/>
          <w:b w:val="false"/>
          <w:bCs w:val="false"/>
          <w:i w:val="false"/>
          <w:iCs w:val="false"/>
          <w:color w:val="1A1A1A"/>
          <w:sz w:val="19"/>
          <w:szCs w:val="19"/>
        </w:rPr>
        <w:t xml:space="preserve">Medical supply OEM customers require supplier quality documentation. Current manual record keeping practices create audit exposure and have been flagged by two customers as requiring improvement.</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Problem Area</w:t>
            </w:r>
          </w:p>
        </w:tc>
        <w:tc>
          <w:tcPr>
            <w:tcW w:type="dxa" w:w="308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Current State</w:t>
            </w:r>
          </w:p>
        </w:tc>
        <w:tc>
          <w:tcPr>
            <w:tcW w:type="dxa" w:w="408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Business Impact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Production Visibility</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Manual paper records, next-day data entry</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 real-time scheduling or floor management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OEE Tracking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Not measured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Inability to commit accurately to customer schedules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Maintenance Planning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Reactive only, institutional knowledge lost</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Increasing unplanned downtime, rising repair costs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Scrap Tracking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Manual estimation, inconsistent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Unquantified material cost erosion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Cross-Site Coordination</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Paper travelers, phone calls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Inventory discrepancies, scheduling gaps between sites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Customer Documentation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Manual logs, audit exposure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Customer attrition risk, potential contract loss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Predictive Maintenance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 sensor data, no condition monitoring</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Undetected bearing wear, pump failures, equipment damage</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3.  </w:t>
            </w:r>
            <w:r>
              <w:rPr>
                <w:rFonts w:ascii="Arial" w:cs="Arial" w:eastAsia="Arial" w:hAnsi="Arial"/>
                <w:b/>
                <w:bCs/>
                <w:i w:val="false"/>
                <w:iCs w:val="false"/>
                <w:color w:val="FFFFFF"/>
                <w:sz w:val="22"/>
                <w:szCs w:val="22"/>
              </w:rPr>
              <w:t xml:space="preserve">PROJECT OBJECTIVES</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4560"/>
        <w:gridCol w:w="42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w:t>
            </w:r>
          </w:p>
        </w:tc>
        <w:tc>
          <w:tcPr>
            <w:tcW w:type="dxa" w:w="4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Objective</w:t>
            </w:r>
          </w:p>
        </w:tc>
        <w:tc>
          <w:tcPr>
            <w:tcW w:type="dxa" w:w="4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Success Measure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Connect all production equipment to a real-time data infrastructure without interrupting production or modifying existing control programs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machines publishing live data to Unified Namespace within project timeline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Establish automated OEE calculation for all production equipment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OEE visible on dashboard for every machine, updated in real time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3</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Implement automated scrap and part count tracking at point of production</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Scrap rate calculated from actual machine data, not manual estimation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Deploy maintenance downtime tracking and fault history logging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Downtime events captured automatically with timestamp, duration, and fault code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Create real-time production visibility dashboard accessible to management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Live dashboard showing all machines, both sites, on a single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Establish electronic cross-site part tracking replacing paper travelers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output count and Site 2 receiving count reconciled automatically in real time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7</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Build automated production documentation sufficient for customer audit requirements</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Historian data exportable as production records meeting medical OEM audit standards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Deploy IO-Link smart sensors for process monitoring and condition assessment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Temperature, pressure, flow, and vibration data publishing to UNS alongside PLC data</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9</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Implement predictive maintenance capability — automated work order generation</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Sensor threshold breach triggers MaintainX work order automatically — technician notification demonstrated end to end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Demonstrate remote multi-site monitoring via secure access without cloud dependency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Live production data and dashboards accessible remotely via Tailscale mesh — no public IP exposure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Validate client independence — documented independent system extension by non-integrator personnel</w:t>
            </w:r>
          </w:p>
        </w:tc>
        <w:tc>
          <w:tcPr>
            <w:tcW w:type="dxa" w:w="4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Colleague with no prior knowledge of the build successfully adds new equipment using only project documentation — no integrator assistance required</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4.  </w:t>
            </w:r>
            <w:r>
              <w:rPr>
                <w:rFonts w:ascii="Arial" w:cs="Arial" w:eastAsia="Arial" w:hAnsi="Arial"/>
                <w:b/>
                <w:bCs/>
                <w:i w:val="false"/>
                <w:iCs w:val="false"/>
                <w:color w:val="FFFFFF"/>
                <w:sz w:val="22"/>
                <w:szCs w:val="22"/>
              </w:rPr>
              <w:t xml:space="preserve">PROPOSED SOLUTION ARCHITECTURE</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4.1  Architecture Overview</w:t>
      </w:r>
    </w:p>
    <w:p>
      <w:pPr>
        <w:spacing w:after="120" w:before="0" w:line="320"/>
      </w:pPr>
      <w:r>
        <w:rPr>
          <w:rFonts w:ascii="Arial" w:cs="Arial" w:eastAsia="Arial" w:hAnsi="Arial"/>
          <w:b w:val="false"/>
          <w:bCs w:val="false"/>
          <w:i w:val="false"/>
          <w:iCs w:val="false"/>
          <w:color w:val="1A1A1A"/>
          <w:sz w:val="19"/>
          <w:szCs w:val="19"/>
        </w:rPr>
        <w:t xml:space="preserve">The proposed solution adds a non-invasive IIoT data layer above the existing control infrastructure at both sites. Existing PLC programs are not modified. No production equipment is taken offline during deployment. The data layer reads from existing controllers via their native communication protocols and publishes structured, contextualized data to a Unified Namespace.</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4.2  The Non-Invasive Data Layer</w:t>
      </w:r>
    </w:p>
    <w:p>
      <w:pPr>
        <w:spacing w:after="120" w:before="0" w:line="320"/>
      </w:pPr>
      <w:r>
        <w:rPr>
          <w:rFonts w:ascii="Arial" w:cs="Arial" w:eastAsia="Arial" w:hAnsi="Arial"/>
          <w:b w:val="false"/>
          <w:bCs w:val="false"/>
          <w:i w:val="false"/>
          <w:iCs w:val="false"/>
          <w:color w:val="1A1A1A"/>
          <w:sz w:val="19"/>
          <w:szCs w:val="19"/>
        </w:rPr>
        <w:t xml:space="preserve">Every PLC runs its existing control program unchanged. The IIoT integration is accomplished entirely at the edge device layer — the groov EPIC-PR1 reads PLC data via each machine's native protocol and publishes it to the Unified Namespace via Node-RED protocol bridging flows. The PLCs have no awareness of the data collection layer operating above them.</w:t>
      </w:r>
    </w:p>
    <w:p>
      <w:pPr>
        <w:spacing w:after="120" w:before="0" w:line="320"/>
      </w:pPr>
      <w:r>
        <w:rPr>
          <w:rFonts w:ascii="Arial" w:cs="Arial" w:eastAsia="Arial" w:hAnsi="Arial"/>
          <w:b w:val="false"/>
          <w:bCs w:val="false"/>
          <w:i w:val="false"/>
          <w:iCs w:val="false"/>
          <w:color w:val="1A1A1A"/>
          <w:sz w:val="19"/>
          <w:szCs w:val="19"/>
        </w:rPr>
        <w:t xml:space="preserve">For newer controllers with OPC-UA capability, the edge device subscribes to specific tags and receives value-change notifications automatically. For legacy controllers without network capability, protocol gateways bridge serial communication to Ethernet. For the MicroLogix 1000 with DF1 serial only, the MGate EIP3170 gateway provides EtherNet/IP access without any modification to the original program.</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4.3  Five-Layer IIoT Stack Architecture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Layer</w:t>
            </w:r>
          </w:p>
        </w:tc>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Component</w:t>
            </w:r>
          </w:p>
        </w:tc>
        <w:tc>
          <w:tcPr>
            <w:tcW w:type="dxa" w:w="5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Responsibility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 — OT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PLC Controllers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Run machine logic. Publish process data via native protocols to EPIC Node-RED.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 — Transport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EPIC · Wago · Mosquitto · Node-RED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Translate native protocols to Sparkplug B. Move real-time data. Hold current state. No processing. No storage.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3 — Intelligence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SCADA</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Subscribe all broker topics. Calculate all derived metrics — OEE, KPIs, shift totals. Publish results back to broker. Sole calculation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 — Historian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Telegraf + InfluxDB 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Capture everything that touches the broker. Preserve Sparkplug B timestamps. Single source of historical truth.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5 — Visualization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Grafana OSS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Query InfluxDB only. Render dashboards. No independent calculations. No publish role.</w:t>
            </w:r>
          </w:p>
        </w:tc>
      </w:tr>
    </w:tbl>
    <w:p>
      <w:pPr>
        <w:spacing w:after="0" w:before="160"/>
      </w:pPr>
      <w:r>
        <w:t xml:space="preserve"/>
      </w:r>
    </w:p>
    <w:p>
      <w:pPr>
        <w:spacing w:after="120" w:before="0" w:line="320"/>
      </w:pPr>
      <w:r>
        <w:rPr>
          <w:rFonts w:ascii="Arial" w:cs="Arial" w:eastAsia="Arial" w:hAnsi="Arial"/>
          <w:b w:val="false"/>
          <w:bCs w:val="false"/>
          <w:i w:val="false"/>
          <w:iCs w:val="false"/>
          <w:color w:val="1A1A1A"/>
          <w:sz w:val="19"/>
          <w:szCs w:val="19"/>
        </w:rPr>
        <w:t xml:space="preserve">Three governing principles: one broker as transport spine, one calculation engine in Ignition, one historian in InfluxDB. No consumer calculates independently. No data disagreement possible between systems.</w:t>
      </w:r>
    </w:p>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4.4  ISA-95 Tag Naming Standard</w:t>
      </w:r>
    </w:p>
    <w:p>
      <w:pPr>
        <w:spacing w:after="120" w:before="0" w:line="320"/>
      </w:pPr>
      <w:r>
        <w:rPr>
          <w:rFonts w:ascii="Arial" w:cs="Arial" w:eastAsia="Arial" w:hAnsi="Arial"/>
          <w:b w:val="false"/>
          <w:bCs w:val="false"/>
          <w:i w:val="false"/>
          <w:iCs w:val="false"/>
          <w:color w:val="1A1A1A"/>
          <w:sz w:val="19"/>
          <w:szCs w:val="19"/>
        </w:rPr>
        <w:t xml:space="preserve">All data published to the Unified Namespace follows a two-tier ISA-95 naming convention. Tier 1 applies the Device_Attribute convention within PLC tag databases. Tier 2 applies the full ISA-95 Site_Area_Device_Attribute hierarchy at the EPIC integration layer.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60" w:before="60"/>
            </w:pPr>
            <w:r>
              <w:rPr>
                <w:rFonts w:ascii="Arial" w:cs="Arial" w:eastAsia="Arial" w:hAnsi="Arial"/>
                <w:b/>
                <w:bCs/>
                <w:i w:val="false"/>
                <w:iCs w:val="false"/>
                <w:color w:val="1B5E20"/>
                <w:sz w:val="17"/>
                <w:szCs w:val="17"/>
              </w:rPr>
              <w:t xml:space="preserve">EXAMPLE  </w:t>
            </w:r>
            <w:r>
              <w:rPr>
                <w:rFonts w:ascii="Arial" w:cs="Arial" w:eastAsia="Arial" w:hAnsi="Arial"/>
                <w:b w:val="false"/>
                <w:bCs w:val="false"/>
                <w:i w:val="false"/>
                <w:iCs w:val="false"/>
                <w:color w:val="1B5E20"/>
                <w:sz w:val="17"/>
                <w:szCs w:val="17"/>
              </w:rPr>
              <w:t xml:space="preserve">Tier 1 (RSLogix 500): Press_Running · Parts_Count · Track_Empty_Flt   |   Tier 2 (UNS): Site1_Stamping_Press01_Running · Site1_Stamping_Press01_Parts_Count</w:t>
            </w:r>
          </w:p>
        </w:tc>
      </w:tr>
    </w:tbl>
    <w:p>
      <w:pPr>
        <w:spacing w:after="0" w:before="12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4.5  Two-Site Unified Namespace</w:t>
      </w:r>
    </w:p>
    <w:p>
      <w:pPr>
        <w:spacing w:after="120" w:before="0" w:line="320"/>
      </w:pPr>
      <w:r>
        <w:rPr>
          <w:rFonts w:ascii="Arial" w:cs="Arial" w:eastAsia="Arial" w:hAnsi="Arial"/>
          <w:b w:val="false"/>
          <w:bCs w:val="false"/>
          <w:i w:val="false"/>
          <w:iCs w:val="false"/>
          <w:color w:val="1A1A1A"/>
          <w:sz w:val="19"/>
          <w:szCs w:val="19"/>
        </w:rPr>
        <w:t xml:space="preserve">Both facilities publish to a single Unified Namespace hosted on the AOOSTAR NAS platform at Site 1. Site 2 connects via the existing network link between facilities. From the data layer perspective, the two-facility operation appears as a single unified system.</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80" w:before="60"/>
            </w:pPr>
            <w:r>
              <w:rPr>
                <w:rFonts w:ascii="Arial" w:cs="Arial" w:eastAsia="Arial" w:hAnsi="Arial"/>
                <w:b/>
                <w:bCs/>
                <w:i w:val="false"/>
                <w:iCs w:val="false"/>
                <w:color w:val="2E5FAB"/>
                <w:sz w:val="17"/>
                <w:szCs w:val="17"/>
              </w:rPr>
              <w:t xml:space="preserve">Site 1 — Loogootee, Illinois</w:t>
            </w:r>
          </w:p>
          <w:p>
            <w:pPr>
              <w:spacing w:after="30" w:before="0"/>
            </w:pPr>
            <w:r>
              <w:rPr>
                <w:rFonts w:ascii="Arial" w:cs="Arial" w:eastAsia="Arial" w:hAnsi="Arial"/>
                <w:b/>
                <w:bCs/>
                <w:i w:val="false"/>
                <w:iCs w:val="false"/>
                <w:color w:val="1F3864"/>
                <w:sz w:val="16"/>
                <w:szCs w:val="16"/>
              </w:rPr>
              <w:t xml:space="preserve">Site1_Stamping</w:t>
            </w:r>
          </w:p>
          <w:p>
            <w:pPr>
              <w:spacing w:after="30" w:before="0"/>
            </w:pPr>
            <w:r>
              <w:rPr>
                <w:rFonts w:ascii="Arial" w:cs="Arial" w:eastAsia="Arial" w:hAnsi="Arial"/>
                <w:b w:val="false"/>
                <w:bCs w:val="false"/>
                <w:i w:val="false"/>
                <w:iCs w:val="false"/>
                <w:color w:val="1A1A1A"/>
                <w:sz w:val="16"/>
                <w:szCs w:val="16"/>
              </w:rPr>
              <w:t xml:space="preserve">  → Press01  (MicroLogix 1000)</w:t>
            </w:r>
          </w:p>
          <w:p>
            <w:pPr>
              <w:spacing w:after="30" w:before="0"/>
            </w:pPr>
            <w:r>
              <w:rPr>
                <w:rFonts w:ascii="Arial" w:cs="Arial" w:eastAsia="Arial" w:hAnsi="Arial"/>
                <w:b w:val="false"/>
                <w:bCs w:val="false"/>
                <w:i w:val="false"/>
                <w:iCs w:val="false"/>
                <w:color w:val="1A1A1A"/>
                <w:sz w:val="16"/>
                <w:szCs w:val="16"/>
              </w:rPr>
              <w:t xml:space="preserve">  → Press02, Press03  (MicroLogix 1400 ×2)</w:t>
            </w:r>
          </w:p>
          <w:p>
            <w:pPr>
              <w:spacing w:after="30" w:before="0"/>
            </w:pPr>
            <w:r>
              <w:rPr>
                <w:rFonts w:ascii="Arial" w:cs="Arial" w:eastAsia="Arial" w:hAnsi="Arial"/>
                <w:b w:val="false"/>
                <w:bCs w:val="false"/>
                <w:i w:val="false"/>
                <w:iCs w:val="false"/>
                <w:color w:val="1A1A1A"/>
                <w:sz w:val="16"/>
                <w:szCs w:val="16"/>
              </w:rPr>
              <w:t xml:space="preserve">  → Palletizer  (Micro850)</w:t>
            </w:r>
          </w:p>
          <w:p>
            <w:pPr>
              <w:spacing w:after="30" w:before="0"/>
            </w:pPr>
            <w:r>
              <w:rPr>
                <w:rFonts w:ascii="Arial" w:cs="Arial" w:eastAsia="Arial" w:hAnsi="Arial"/>
                <w:b w:val="false"/>
                <w:bCs w:val="false"/>
                <w:i w:val="false"/>
                <w:iCs w:val="false"/>
                <w:color w:val="1A1A1A"/>
                <w:sz w:val="16"/>
                <w:szCs w:val="16"/>
              </w:rPr>
              <w:t xml:space="preserve">  → PumpStation01  (IO-Link / EPIC)</w:t>
            </w:r>
          </w:p>
          <w:p>
            <w:pPr>
              <w:spacing w:after="30" w:before="0"/>
            </w:pPr>
            <w:r>
              <w:rPr>
                <w:rFonts w:ascii="Arial" w:cs="Arial" w:eastAsia="Arial" w:hAnsi="Arial"/>
                <w:b/>
                <w:bCs/>
                <w:i w:val="false"/>
                <w:iCs w:val="false"/>
                <w:color w:val="1F3864"/>
                <w:sz w:val="16"/>
                <w:szCs w:val="16"/>
              </w:rPr>
              <w:t xml:space="preserve">Site1_Wash_Process  (CompactLogix L24ER)</w:t>
            </w:r>
          </w:p>
          <w:p>
            <w:pPr>
              <w:spacing w:after="30" w:before="0"/>
            </w:pPr>
            <w:r>
              <w:rPr>
                <w:rFonts w:ascii="Arial" w:cs="Arial" w:eastAsia="Arial" w:hAnsi="Arial"/>
                <w:b/>
                <w:bCs/>
                <w:i w:val="false"/>
                <w:iCs w:val="false"/>
                <w:color w:val="1F3864"/>
                <w:sz w:val="16"/>
                <w:szCs w:val="16"/>
              </w:rPr>
              <w:t xml:space="preserve">Site1_Wash_Safety  (GuardLogix + Point I/O)</w:t>
            </w:r>
          </w:p>
          <w:p>
            <w:pPr>
              <w:spacing w:after="30" w:before="0"/>
            </w:pPr>
            <w:r>
              <w:rPr>
                <w:rFonts w:ascii="Arial" w:cs="Arial" w:eastAsia="Arial" w:hAnsi="Arial"/>
                <w:b/>
                <w:bCs/>
                <w:i w:val="false"/>
                <w:iCs w:val="false"/>
                <w:color w:val="1F3864"/>
                <w:sz w:val="16"/>
                <w:szCs w:val="16"/>
              </w:rPr>
              <w:t xml:space="preserve">Site1_Forming  (Beckhoff CX5120)</w:t>
            </w:r>
          </w:p>
          <w:p>
            <w:pPr>
              <w:spacing w:after="30" w:before="0"/>
            </w:pPr>
            <w:r>
              <w:rPr>
                <w:rFonts w:ascii="Arial" w:cs="Arial" w:eastAsia="Arial" w:hAnsi="Arial"/>
                <w:b/>
                <w:bCs/>
                <w:i w:val="false"/>
                <w:iCs w:val="false"/>
                <w:color w:val="1F3864"/>
                <w:sz w:val="16"/>
                <w:szCs w:val="16"/>
              </w:rPr>
              <w:t xml:space="preserve">Site1_Inspection  (S7-1200 #1 + ET200SP)</w:t>
            </w:r>
          </w:p>
          <w:p>
            <w:pPr>
              <w:spacing w:after="30" w:before="0"/>
            </w:pPr>
            <w:r>
              <w:rPr>
                <w:rFonts w:ascii="Arial" w:cs="Arial" w:eastAsia="Arial" w:hAnsi="Arial"/>
                <w:b/>
                <w:bCs/>
                <w:i w:val="false"/>
                <w:iCs w:val="false"/>
                <w:color w:val="1F3864"/>
                <w:sz w:val="16"/>
                <w:szCs w:val="16"/>
              </w:rPr>
              <w:t xml:space="preserve">Site1_Conveyor  (S7-1200 #2 + ET200SP)</w:t>
            </w:r>
          </w:p>
        </w:tc>
        <w:tc>
          <w:tcPr>
            <w:tcW w:type="dxa" w:w="468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80" w:before="60"/>
            </w:pPr>
            <w:r>
              <w:rPr>
                <w:rFonts w:ascii="Arial" w:cs="Arial" w:eastAsia="Arial" w:hAnsi="Arial"/>
                <w:b/>
                <w:bCs/>
                <w:i w:val="false"/>
                <w:iCs w:val="false"/>
                <w:color w:val="2E5FAB"/>
                <w:sz w:val="17"/>
                <w:szCs w:val="17"/>
              </w:rPr>
              <w:t xml:space="preserve">Site 2 — Remote Packaging Facility</w:t>
            </w:r>
          </w:p>
          <w:p>
            <w:pPr>
              <w:spacing w:after="30" w:before="0"/>
            </w:pPr>
            <w:r>
              <w:rPr>
                <w:rFonts w:ascii="Arial" w:cs="Arial" w:eastAsia="Arial" w:hAnsi="Arial"/>
                <w:b/>
                <w:bCs/>
                <w:i w:val="false"/>
                <w:iCs w:val="false"/>
                <w:color w:val="1F3864"/>
                <w:sz w:val="16"/>
                <w:szCs w:val="16"/>
              </w:rPr>
              <w:t xml:space="preserve">Site2_Packaging  (Wago PFC200 750-8206)</w:t>
            </w:r>
          </w:p>
          <w:p>
            <w:pPr>
              <w:spacing w:after="30" w:before="0"/>
            </w:pPr>
            <w:r>
              <w:rPr>
                <w:rFonts w:ascii="Arial" w:cs="Arial" w:eastAsia="Arial" w:hAnsi="Arial"/>
                <w:b w:val="false"/>
                <w:bCs w:val="false"/>
                <w:i w:val="false"/>
                <w:iCs w:val="false"/>
                <w:color w:val="1A1A1A"/>
                <w:sz w:val="16"/>
                <w:szCs w:val="16"/>
              </w:rPr>
              <w:t xml:space="preserve">  → Native Sparkplug B MQTT publish</w:t>
            </w:r>
          </w:p>
          <w:p>
            <w:pPr>
              <w:spacing w:after="30" w:before="0"/>
            </w:pPr>
            <w:r>
              <w:rPr>
                <w:rFonts w:ascii="Arial" w:cs="Arial" w:eastAsia="Arial" w:hAnsi="Arial"/>
                <w:b w:val="false"/>
                <w:bCs w:val="false"/>
                <w:i w:val="false"/>
                <w:iCs w:val="false"/>
                <w:color w:val="1A1A1A"/>
                <w:sz w:val="16"/>
                <w:szCs w:val="16"/>
              </w:rPr>
              <w:t xml:space="preserve">  → Packaging production data</w:t>
            </w:r>
          </w:p>
          <w:p>
            <w:pPr>
              <w:spacing w:after="30" w:before="0"/>
            </w:pPr>
            <w:r>
              <w:rPr>
                <w:rFonts w:ascii="Arial" w:cs="Arial" w:eastAsia="Arial" w:hAnsi="Arial"/>
                <w:b w:val="false"/>
                <w:bCs w:val="false"/>
                <w:i w:val="false"/>
                <w:iCs w:val="false"/>
                <w:color w:val="1A1A1A"/>
                <w:sz w:val="16"/>
                <w:szCs w:val="16"/>
              </w:rPr>
              <w:t xml:space="preserve">  → Cross-site part count reconciliation</w:t>
            </w:r>
          </w:p>
          <w:p>
            <w:pPr>
              <w:spacing w:after="30" w:before="0"/>
            </w:pPr>
            <w:r>
              <w:rPr>
                <w:rFonts w:ascii="Arial" w:cs="Arial" w:eastAsia="Arial" w:hAnsi="Arial"/>
                <w:b/>
                <w:bCs/>
                <w:i w:val="false"/>
                <w:iCs w:val="false"/>
                <w:color w:val="1F3864"/>
                <w:sz w:val="16"/>
                <w:szCs w:val="16"/>
              </w:rPr>
              <w:t xml:space="preserve">Broker Node  (Raspberry Pi 4B)</w:t>
            </w:r>
          </w:p>
          <w:p>
            <w:pPr>
              <w:spacing w:after="30" w:before="0"/>
            </w:pPr>
            <w:r>
              <w:rPr>
                <w:rFonts w:ascii="Arial" w:cs="Arial" w:eastAsia="Arial" w:hAnsi="Arial"/>
                <w:b w:val="false"/>
                <w:bCs w:val="false"/>
                <w:i w:val="false"/>
                <w:iCs w:val="false"/>
                <w:color w:val="1A1A1A"/>
                <w:sz w:val="16"/>
                <w:szCs w:val="16"/>
              </w:rPr>
              <w:t xml:space="preserve">  → Mosquitto 2.0.21</w:t>
            </w:r>
          </w:p>
          <w:p>
            <w:pPr>
              <w:spacing w:after="30" w:before="0"/>
            </w:pPr>
            <w:r>
              <w:rPr>
                <w:rFonts w:ascii="Arial" w:cs="Arial" w:eastAsia="Arial" w:hAnsi="Arial"/>
                <w:b w:val="false"/>
                <w:bCs w:val="false"/>
                <w:i w:val="false"/>
                <w:iCs w:val="false"/>
                <w:color w:val="1A1A1A"/>
                <w:sz w:val="16"/>
                <w:szCs w:val="16"/>
              </w:rPr>
              <w:t xml:space="preserve">  → Port 1883 — Sparkplug B transport</w:t>
            </w:r>
          </w:p>
          <w:p>
            <w:pPr>
              <w:spacing w:after="30" w:before="0"/>
            </w:pPr>
            <w:r>
              <w:rPr>
                <w:rFonts w:ascii="Arial" w:cs="Arial" w:eastAsia="Arial" w:hAnsi="Arial"/>
                <w:b w:val="false"/>
                <w:bCs w:val="false"/>
                <w:i w:val="false"/>
                <w:iCs w:val="false"/>
                <w:color w:val="1A1A1A"/>
                <w:sz w:val="16"/>
                <w:szCs w:val="16"/>
              </w:rPr>
              <w:t xml:space="preserve">  → Phoenix Contact DIN rail housing</w:t>
            </w:r>
          </w:p>
          <w:p>
            <w:pPr>
              <w:spacing w:after="30" w:before="0"/>
            </w:pPr>
            <w:r>
              <w:rPr>
                <w:rFonts w:ascii="Arial" w:cs="Arial" w:eastAsia="Arial" w:hAnsi="Arial"/>
                <w:b/>
                <w:bCs/>
                <w:i w:val="false"/>
                <w:iCs w:val="false"/>
                <w:color w:val="1F3864"/>
                <w:sz w:val="16"/>
                <w:szCs w:val="16"/>
              </w:rPr>
              <w:t xml:space="preserve">NAS Platform  (AOOSTAR WTR Max)</w:t>
            </w:r>
          </w:p>
          <w:p>
            <w:pPr>
              <w:spacing w:after="30" w:before="0"/>
            </w:pPr>
            <w:r>
              <w:rPr>
                <w:rFonts w:ascii="Arial" w:cs="Arial" w:eastAsia="Arial" w:hAnsi="Arial"/>
                <w:b w:val="false"/>
                <w:bCs w:val="false"/>
                <w:i w:val="false"/>
                <w:iCs w:val="false"/>
                <w:color w:val="1A1A1A"/>
                <w:sz w:val="16"/>
                <w:szCs w:val="16"/>
              </w:rPr>
              <w:t xml:space="preserve">  → Proxmox VE — LXC containers</w:t>
            </w:r>
          </w:p>
          <w:p>
            <w:pPr>
              <w:spacing w:after="30" w:before="0"/>
            </w:pPr>
            <w:r>
              <w:rPr>
                <w:rFonts w:ascii="Arial" w:cs="Arial" w:eastAsia="Arial" w:hAnsi="Arial"/>
                <w:b w:val="false"/>
                <w:bCs w:val="false"/>
                <w:i w:val="false"/>
                <w:iCs w:val="false"/>
                <w:color w:val="1A1A1A"/>
                <w:sz w:val="16"/>
                <w:szCs w:val="16"/>
              </w:rPr>
              <w:t xml:space="preserve">  → Ignition · Telegraf · InfluxDB · Grafana</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5.  </w:t>
            </w:r>
            <w:r>
              <w:rPr>
                <w:rFonts w:ascii="Arial" w:cs="Arial" w:eastAsia="Arial" w:hAnsi="Arial"/>
                <w:b/>
                <w:bCs/>
                <w:i w:val="false"/>
                <w:iCs w:val="false"/>
                <w:color w:val="FFFFFF"/>
                <w:sz w:val="22"/>
                <w:szCs w:val="22"/>
              </w:rPr>
              <w:t xml:space="preserve">SCOPE OF WORK</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5.1  Included in Scope</w:t>
      </w:r>
    </w:p>
    <w:p>
      <w:pPr>
        <w:spacing w:after="0" w:before="8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Site survey and documentation of all production equipment, control platforms, network infrastructure, and communication protocols at both facilities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Installation and configuration of IIoT infrastructure — groov EPIC-PR1 edge controller, Raspberry Pi MQTT broker, AOOSTAR NAS / Proxmox platform</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Installation and configuration of protocol gateways — MGate EIP3170 for MicroLogix 1000 DF1 serial, MGate MB3170 for PowerFlex 4 Modbus RTU</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Network infrastructure assessment and VLAN segmentation for OT/IT separation</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Node-RED flow development for all protocol bridging paths — EtherNet/IP, Modbus TCP, OPC-UA, DF1 via gateway, PROFINET via OPC-UA, native Sparkplug B</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ISA-95 two-tier tag naming standard applied to all data collection points across both sites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Sparkplug B Unified Namespace configuration and Mosquitto broker deployment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InfluxDB historian deployment — all machine data points, both sites, Telegraf as collection agent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Grafana dashboard development — machine detail views, site overview, cross-site production flow, OEE dashboard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Ignition SCADA deployment — MQTT Engine configuration, Perspective HMI screens, single calculation engine for all derived metrics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OEE calculation — Availability, Performance, Quality at machine and line level — calculated once in Ignition, published to broker</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Cross-site part tracking implementation replacing paper travelers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Operator panel rack build — mobile demonstration unit — groov EPIC, PanelView 800, TBD HMI, physical operator I/O, PowerFlex 525 VFD, pump module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IO-Link smart sensor integration — IFM AL1590 8-port master — temperature, pressure, flow, and vibration sensors on pump station module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Three IO-Link integration patterns demonstrated — edge device via EPIC Node-RED, direct EtherNet/IP via CompactLogix, direct PROFINET via S7-1200</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UNS extensibility demonstrated — operator panel rack added to fully operational system without reconfiguring existing data architecture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MaintainX CMMS integration — REST API — automated work order generation on sensor threshold breach — predictive maintenance demonstrated end to end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Tailscale mesh network configuration — secure remote access without port forwarding, no public IP exposure, no cloud dependency</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Operator and maintenance staff training on dashboard and data access tools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Project documentation — as-built network diagrams, tag register, Node-RED flow documentation, architecture decision records, operations manual</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Independence validation exercise — colleague with no prior knowledge of the build extends the system using only project documentation, without integrator assistance — new equipment commissioned, published to UNS, added to MaintainX, automated work order generated</w:t>
      </w:r>
    </w:p>
    <w:p>
      <w:pPr>
        <w:spacing w:after="0" w:before="16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5.2  Excluded from Scope</w:t>
      </w:r>
    </w:p>
    <w:p>
      <w:pPr>
        <w:spacing w:after="0" w:before="8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Modification of any existing PLC control programs</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Hardware replacement or repair of existing production equipment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ERP or MES system integration — data infrastructure only in this phase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Cybersecurity hardening beyond basic OT/IT network segmentation and access control</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Cloud connectivity or off-premises data hosting</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Mobile device management beyond tablet HMI access</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6.  </w:t>
            </w:r>
            <w:r>
              <w:rPr>
                <w:rFonts w:ascii="Arial" w:cs="Arial" w:eastAsia="Arial" w:hAnsi="Arial"/>
                <w:b/>
                <w:bCs/>
                <w:i w:val="false"/>
                <w:iCs w:val="false"/>
                <w:color w:val="FFFFFF"/>
                <w:sz w:val="22"/>
                <w:szCs w:val="22"/>
              </w:rPr>
              <w:t xml:space="preserve">IMPLEMENTATION PLAN</w:t>
            </w:r>
          </w:p>
        </w:tc>
      </w:tr>
    </w:tbl>
    <w:p>
      <w:pPr>
        <w:spacing w:after="0" w:before="200"/>
      </w:pPr>
      <w:r>
        <w:t xml:space="preserve"/>
      </w:r>
    </w:p>
    <w:p>
      <w:pPr>
        <w:spacing w:after="120" w:before="0" w:line="320"/>
      </w:pPr>
      <w:r>
        <w:rPr>
          <w:rFonts w:ascii="Arial" w:cs="Arial" w:eastAsia="Arial" w:hAnsi="Arial"/>
          <w:b w:val="false"/>
          <w:bCs w:val="false"/>
          <w:i w:val="false"/>
          <w:iCs w:val="false"/>
          <w:color w:val="1A1A1A"/>
          <w:sz w:val="19"/>
          <w:szCs w:val="19"/>
        </w:rPr>
        <w:t xml:space="preserve">The project is organized into eight phases governed by a formal gate structure. Each phase has defined entry criteria that must be satisfied before the next phase is authorized to begin. Gate passage is documented in the project record. Full gate entry criteria are defined in the Rack Phased Development Plan Rev 1.2.</w:t>
      </w:r>
    </w:p>
    <w:p>
      <w:pPr>
        <w:spacing w:after="0" w:before="1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2200"/>
        <w:gridCol w:w="3560"/>
        <w:gridCol w:w="3000"/>
      </w:tblGrid>
      <w:tr>
        <w:tc>
          <w:tcPr>
            <w:tcW w:type="dxa" w:w="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Gate</w:t>
            </w:r>
          </w:p>
        </w:tc>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Phase Name</w:t>
            </w:r>
          </w:p>
        </w:tc>
        <w:tc>
          <w:tcPr>
            <w:tcW w:type="dxa" w:w="3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Key Deliverables</w:t>
            </w:r>
          </w:p>
        </w:tc>
        <w:tc>
          <w:tcPr>
            <w:tcW w:type="dxa" w:w="30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Demonstration Value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 Initiation and Architecture Definition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Foundation confirmed — scope, architecture, documentation, version control all established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architectural decisions documented and defensible before programming begins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Controller Commissioning and UNS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All 11 controllers programmed, simulation running, all data verified publishing to broker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Multi-platform IIoT integration across 5 vendors and 13 protocols. Complete OT data layer operational.</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Stack Deployment and Network Security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NAS commissioned, full stack operational, Tailscale configured, security zones verified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Complete OT/IIoT operational. Secure remote access. No public IP exposure.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Production Visibility and Historian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Dashboards complete, OEE real time, historian accumulating, shift reporting operational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Live OEE, downtime trending, shift reporting, cross-site visibility demonstrated end to end.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Physical System Expansion and UNS Extensibility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 commissioned, new equipment publishing without reconfiguration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New equipment integrates into live system without modifying existing architecture.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IO-Link Smart Sensors and Process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Four sensors operational, baseline established, three integration patterns 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Real process physics. Three simultaneous IO-Link integration patterns on one physical asset.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Predictive Maintenance and Remote Demonstration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end to end, automated work orders, Tailscale remote access confirmed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Sensor anomaly to work order to notification. Live data accessible remotely.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Independence Validation and Project Closeout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Colleague-executed independence exercise using documentation only — project formally closed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The Independence Principle demonstrated physically by non-integrator personnel.</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7.  </w:t>
            </w:r>
            <w:r>
              <w:rPr>
                <w:rFonts w:ascii="Arial" w:cs="Arial" w:eastAsia="Arial" w:hAnsi="Arial"/>
                <w:b/>
                <w:bCs/>
                <w:i w:val="false"/>
                <w:iCs w:val="false"/>
                <w:color w:val="FFFFFF"/>
                <w:sz w:val="22"/>
                <w:szCs w:val="22"/>
              </w:rPr>
              <w:t xml:space="preserve">PROPOSED SOLUTION HARDWARE &amp; SOFTWARE</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7.1  IIoT Infrastructure</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Component</w:t>
            </w:r>
          </w:p>
        </w:tc>
        <w:tc>
          <w:tcPr>
            <w:tcW w:type="dxa" w:w="35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Role</w:t>
            </w:r>
          </w:p>
        </w:tc>
        <w:tc>
          <w:tcPr>
            <w:tcW w:type="dxa" w:w="3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Location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groov EPIC-PR1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Edge device · Node-RED protocol bridging · groov View HMI · line supervisor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Raspberry Pi 4B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Dedicated Mosquitto MQTT broker — Unified Namespace transport spine — Phoenix Contact DIN rail housing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42U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AOOSTAR WTR Max</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Proxmox VE — LXC containers for Ignition, Telegraf, InfluxDB, Grafana, Node-RED — VM hosting for licensed software — 32GB DDR5 — 5x NVMe — 2.5GbE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Adjacent to 42U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Moxa MGate EIP3170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MicroLogix 1000 DF1 serial to EtherNet/IP bridge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42U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Moxa MGate MB3170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4 Modbus RTU to Modbus TCP bridge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42U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IFM AL1590 IO-Link Master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8-port IO-Link master — OPC-UA · PROFINET · EtherNet/IP multiprotocol — integrated Node-RED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4 ×1</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Variable speed drive — Modbus RTU via MGate MB3170</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42U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PowerFlex 525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Variable speed drive — EtherNet/IP — 0.5HP pump motor in operator panel rack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Operator panel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Cisco SG300-28PP-K9</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28-port GbE managed switch — VLAN capable — OT network segmentation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42U rack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GL.iNet Beryl AX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Tailscale mesh network node — secure remote access — no port forwarding 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42U rack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Samsung Galaxy Tab</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Perspective thin client — WiFi — mobile operator HMI</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1 floor</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7.2  Software Stack</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Software</w:t>
            </w:r>
          </w:p>
        </w:tc>
        <w:tc>
          <w:tcPr>
            <w:tcW w:type="dxa" w:w="4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Function</w:t>
            </w:r>
          </w:p>
        </w:tc>
        <w:tc>
          <w:tcPr>
            <w:tcW w:type="dxa" w:w="2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License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Mosquitto 2.0.21</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MQTT broker — Unified Namespace transport spine — Sparkplug 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Node-RED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Protocol bridging · data contextualization · shift management · MaintainX API flows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Ignition SCADA</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UNS intelligence layer · sole calculation engine · MQTT Engine · Perspective HMI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Licensed — Maker Edition for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Telegraf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Broker-to-historian bridge — subscribes all topics — writes to InfluxDB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InfluxDB OSS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Time series historian — single source of historical truth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Grafana OSS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Read-only visualization — queries InfluxDB only — OEE · trends · shift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open source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MaintainX CMMS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Computerized maintenance management — REST API — automated work order generation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tier — sufficient for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Tailscale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Mesh VPN — secure remote access — no port forwarding — no public IP exposure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Free — personal use</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8.  </w:t>
            </w:r>
            <w:r>
              <w:rPr>
                <w:rFonts w:ascii="Arial" w:cs="Arial" w:eastAsia="Arial" w:hAnsi="Arial"/>
                <w:b/>
                <w:bCs/>
                <w:i w:val="false"/>
                <w:iCs w:val="false"/>
                <w:color w:val="FFFFFF"/>
                <w:sz w:val="22"/>
                <w:szCs w:val="22"/>
              </w:rPr>
              <w:t xml:space="preserve">ASSUMPTIONS &amp; DEPENDENCIES</w:t>
            </w:r>
          </w:p>
        </w:tc>
      </w:tr>
    </w:tbl>
    <w:p>
      <w:pPr>
        <w:spacing w:after="0" w:before="200"/>
      </w:pPr>
      <w:r>
        <w:t xml:space="preserve"/>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Existing PLC programs are functional and production equipment is operational at project start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A network link between Site 1 and Site 2 is available or will be established prior to Phase 1 completion</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PLC program source files are available for tag identification — online monitoring acceptable if source files unavailable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Management authorization is in place for all proposed infrastructure changes prior to project start</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Production schedules allow brief maintenance windows for edge device installation without equipment shutdown</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IO-Link sensor baseline values will be established during Phase 5 commissioning before MaintainX thresholds are configured</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MaintainX API key will be generated and stored securely — not documented in any project file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A colleague with appropriate technical background will be available for the Phase 7 independence validation exercise</w:t>
      </w:r>
    </w:p>
    <w:p>
      <w:pPr>
        <w:pStyle w:val="ListParagraph"/>
        <w:numPr>
          <w:ilvl w:val="0"/>
          <w:numId w:val="2"/>
        </w:numPr>
        <w:spacing w:after="80" w:before="0"/>
      </w:pPr>
      <w:r>
        <w:rPr>
          <w:rFonts w:ascii="Arial" w:cs="Arial" w:eastAsia="Arial" w:hAnsi="Arial"/>
          <w:b w:val="false"/>
          <w:bCs w:val="false"/>
          <w:i w:val="false"/>
          <w:iCs w:val="false"/>
          <w:color w:val="1A1A1A"/>
          <w:sz w:val="19"/>
          <w:szCs w:val="19"/>
        </w:rPr>
        <w:t xml:space="preserve">Complete documentation package will be available at current revision before the independence exercise begins</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9.  </w:t>
            </w:r>
            <w:r>
              <w:rPr>
                <w:rFonts w:ascii="Arial" w:cs="Arial" w:eastAsia="Arial" w:hAnsi="Arial"/>
                <w:b/>
                <w:bCs/>
                <w:i w:val="false"/>
                <w:iCs w:val="false"/>
                <w:color w:val="FFFFFF"/>
                <w:sz w:val="22"/>
                <w:szCs w:val="22"/>
              </w:rPr>
              <w:t xml:space="preserve">RISK REGISTER</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1200"/>
        <w:gridCol w:w="3360"/>
        <w:gridCol w:w="2400"/>
      </w:tblGrid>
      <w:tr>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Risk</w:t>
            </w:r>
          </w:p>
        </w:tc>
        <w:tc>
          <w:tcPr>
            <w:tcW w:type="dxa" w:w="1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Likelihood</w:t>
            </w:r>
          </w:p>
        </w:tc>
        <w:tc>
          <w:tcPr>
            <w:tcW w:type="dxa" w:w="33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Impact and Mitigation</w:t>
            </w:r>
          </w:p>
        </w:tc>
        <w:tc>
          <w:tcPr>
            <w:tcW w:type="dxa" w:w="2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Owner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MicroLogix 1000 DF1 serial gateway complexity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MGate EIP3170 specifically designed for this scenario. Allow additional time in Phase 1 for legacy integration.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PLC program source files unavailable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Online tag monitoring via OPC-UA or Modbus register scanning can identify data points without source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Wago PFC200 v1 software environment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e!COCKPIT discontinued. VM-based trial isolation planned. Fallback: EPIC Node-RED reads Wago via Modbus TCP and republishes as Sparkplug 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IO-Link sensor baseline establishment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Pump module must run at normal conditions before thresholds can be set. Allow commissioning time for baseline capture before MaintainX integration is configured.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Site 2 network link reliability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Low</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MQTT is extremely low bandwidth by design. A 10Mbps link is more than sufficient. Assess existing link quality in Phase 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Project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Independence exercise documentation gaps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Documentation gaps identified during the exercise are a valid and expected outcome. All gaps identified during Phase 7 exercise will be resolved before project closeout. The exercise is designed to surface deficiencies.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Integration Engineer</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40"/>
              <w:bottom w:type="dxa" w:w="100"/>
              <w:right w:type="dxa" w:w="240"/>
            </w:tcMar>
          </w:tcPr>
          <w:p>
            <w:pPr>
              <w:spacing w:after="60" w:before="60"/>
            </w:pPr>
            <w:r>
              <w:rPr>
                <w:rFonts w:ascii="Arial" w:cs="Arial" w:eastAsia="Arial" w:hAnsi="Arial"/>
                <w:b/>
                <w:bCs/>
                <w:i w:val="false"/>
                <w:iCs w:val="false"/>
                <w:color w:val="00ACC1"/>
                <w:sz w:val="22"/>
                <w:szCs w:val="22"/>
              </w:rPr>
              <w:t xml:space="preserve">10.  </w:t>
            </w:r>
            <w:r>
              <w:rPr>
                <w:rFonts w:ascii="Arial" w:cs="Arial" w:eastAsia="Arial" w:hAnsi="Arial"/>
                <w:b/>
                <w:bCs/>
                <w:i w:val="false"/>
                <w:iCs w:val="false"/>
                <w:color w:val="FFFFFF"/>
                <w:sz w:val="22"/>
                <w:szCs w:val="22"/>
              </w:rPr>
              <w:t xml:space="preserve">DOCUMENT INFORMATION</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Modernization — Project Scope of Work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Client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Loogootee Mfg., Inc. — Training Simulation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Prepared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 — Loogootee Mfg. Training Simulation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1.2 — Revised April 2026</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Training Simulation — Not for Distribution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Repository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github.com/JeremySField/loogootee-mfg-training-simulation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00"/>
            </w:tcMar>
          </w:tcPr>
          <w:p>
            <w:r>
              <w:rPr>
                <w:rFonts w:ascii="Arial" w:cs="Arial" w:eastAsia="Arial" w:hAnsi="Arial"/>
                <w:b/>
                <w:bCs/>
                <w:i w:val="false"/>
                <w:iCs w:val="false"/>
                <w:color w:val="1F3864"/>
                <w:sz w:val="17"/>
                <w:szCs w:val="17"/>
              </w:rPr>
              <w:t xml:space="preserve">Related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IIoT Architecture Decision Record Rev 0.1 · IIoT Data Layer Architecture Rev 0.2 · Rack Phased Development Plan Rev 1.2 · NAS Implementation Rev 0.1 · IO-Link Pump Module Concept Rev 0.2 · MaintainX Implementation Concept Rev 0.1</w:t>
            </w:r>
          </w:p>
        </w:tc>
      </w:tr>
    </w:tbl>
    <w:p>
      <w:pPr>
        <w:spacing w:after="0" w:before="200"/>
      </w:pPr>
      <w:r>
        <w:t xml:space="preserve"/>
      </w:r>
    </w:p>
    <w:p>
      <w:pPr>
        <w:pBdr>
          <w:bottom w:val="single" w:color="2E5FAB" w:sz="2" w:space="2"/>
        </w:pBdr>
        <w:spacing w:after="80" w:before="280"/>
      </w:pPr>
      <w:r>
        <w:rPr>
          <w:rFonts w:ascii="Arial" w:cs="Arial" w:eastAsia="Arial" w:hAnsi="Arial"/>
          <w:b/>
          <w:bCs/>
          <w:i w:val="false"/>
          <w:iCs w:val="false"/>
          <w:color w:val="2E5FAB"/>
          <w:sz w:val="20"/>
          <w:szCs w:val="20"/>
        </w:rPr>
        <w:t xml:space="preserve">Revision History</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1400"/>
        <w:gridCol w:w="2200"/>
        <w:gridCol w:w="4960"/>
      </w:tblGrid>
      <w:tr>
        <w:tc>
          <w:tcPr>
            <w:tcW w:type="dxa" w:w="8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Rev</w:t>
            </w:r>
          </w:p>
        </w:tc>
        <w:tc>
          <w:tcPr>
            <w:tcW w:type="dxa" w:w="14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Date</w:t>
            </w:r>
          </w:p>
        </w:tc>
        <w:tc>
          <w:tcPr>
            <w:tcW w:type="dxa" w:w="220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Author</w:t>
            </w:r>
          </w:p>
        </w:tc>
        <w:tc>
          <w:tcPr>
            <w:tcW w:type="dxa" w:w="4960"/>
            <w:tcBorders>
              <w:top w:val="single" w:color="CCCCCC" w:sz="1"/>
              <w:left w:val="single" w:color="CCCCCC" w:sz="1"/>
              <w:bottom w:val="single" w:color="CCCCCC" w:sz="1"/>
              <w:right w:val="single" w:color="CCCCCC" w:sz="1"/>
            </w:tcBorders>
            <w:shd w:fill="2E5FAB" w:val="clear"/>
            <w:tcMar>
              <w:top w:type="dxa" w:w="80"/>
              <w:left w:type="dxa" w:w="140"/>
              <w:bottom w:type="dxa" w:w="80"/>
              <w:right w:type="dxa" w:w="100"/>
            </w:tcMar>
          </w:tcPr>
          <w:p>
            <w:r>
              <w:rPr>
                <w:rFonts w:ascii="Arial" w:cs="Arial" w:eastAsia="Arial" w:hAnsi="Arial"/>
                <w:b/>
                <w:bCs/>
                <w:i w:val="false"/>
                <w:iCs w:val="false"/>
                <w:color w:val="FFFFFF"/>
                <w:sz w:val="17"/>
                <w:szCs w:val="17"/>
              </w:rPr>
              <w:t xml:space="preserve">Description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March 2026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Initial release. Four-phase plan. Site 2 assigned three Siemens S7-1200 units.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Controller assignments corrected — Wago PFC200 as Site 2, S7-1200 units to Site 1. Updated to six-phase plan. Added IO-Link, MaintainX, WireGuard VPN. AOOSTAR NAS. Telegraf added. Protocol count 14 → 13.</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1.2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April 2026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Jeremy Field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tcPr>
          <w:p>
            <w:r>
              <w:rPr>
                <w:rFonts w:ascii="Arial" w:cs="Arial" w:eastAsia="Arial" w:hAnsi="Arial"/>
                <w:b w:val="false"/>
                <w:bCs w:val="false"/>
                <w:i w:val="false"/>
                <w:iCs w:val="false"/>
                <w:color w:val="1A1A1A"/>
                <w:sz w:val="17"/>
                <w:szCs w:val="17"/>
              </w:rPr>
              <w:t xml:space="preserve">Updated to eight-phase gate structure G0-G7 with locked phase names. WireGuard VPN replaced by Tailscale mesh — no public IP exposure. EPIC location updated to operator panel rack. PowerFlex inventory updated — PowerFlex 4 ×1 in 42U rack, PowerFlex 525 ×1 in operator panel rack. Operator panel rack added as scope item. UNS extensibility demonstration added as scope item. Independence validation exercise added as Objective 11 and scope item. Risk entry added for independence exercise documentation gaps. Assumptions updated to include colleague availability and documentation package requirements for Phase 7.</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tabs>
        <w:tab w:val="right" w:pos="9360"/>
      </w:tabs>
      <w:spacing w:after="0" w:before="120"/>
    </w:pPr>
    <w:r>
      <w:rPr>
        <w:rFonts w:ascii="Arial" w:cs="Arial" w:eastAsia="Arial" w:hAnsi="Arial"/>
        <w:b w:val="false"/>
        <w:bCs w:val="false"/>
        <w:i w:val="false"/>
        <w:iCs w:val="false"/>
        <w:color w:val="445566"/>
        <w:sz w:val="16"/>
        <w:szCs w:val="16"/>
      </w:rPr>
      <w:t xml:space="preserve">Loogootee Mfg. Training Simulation  ·  Version 1.2  ·  April 2026</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Page </w:t>
    </w:r>
    <w:r>
      <w:rPr>
        <w:rFonts w:ascii="Arial" w:cs="Arial" w:eastAsia="Arial" w:hAnsi="Arial"/>
        <w:color w:val="44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4"/>
      </w:pBdr>
      <w:tabs>
        <w:tab w:val="right" w:pos="9360"/>
      </w:tabs>
      <w:spacing w:after="120" w:before="0"/>
    </w:pPr>
    <w:r>
      <w:rPr>
        <w:rFonts w:ascii="Arial" w:cs="Arial" w:eastAsia="Arial" w:hAnsi="Arial"/>
        <w:b w:val="false"/>
        <w:bCs w:val="false"/>
        <w:i w:val="false"/>
        <w:iCs w:val="false"/>
        <w:color w:val="445566"/>
        <w:sz w:val="16"/>
        <w:szCs w:val="16"/>
      </w:rPr>
      <w:t xml:space="preserve">LOOGOOTEE MFG. — TRAINING SIMULATION</w:t>
    </w:r>
    <w:r>
      <w:rPr>
        <w:rFonts w:ascii="Arial" w:cs="Arial" w:eastAsia="Arial" w:hAnsi="Arial"/>
      </w:rPr>
      <w:t xml:space="preserve">	</w:t>
    </w:r>
    <w:r>
      <w:rPr>
        <w:rFonts w:ascii="Arial" w:cs="Arial" w:eastAsia="Arial" w:hAnsi="Arial"/>
        <w:b w:val="false"/>
        <w:bCs w:val="false"/>
        <w:i w:val="false"/>
        <w:iCs w:val="false"/>
        <w:color w:val="445566"/>
        <w:sz w:val="16"/>
        <w:szCs w:val="16"/>
      </w:rPr>
      <w:t xml:space="preserve">IIoT MODERNIZATION — PROJECT SCOPE OF WORK  ·  REV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2026-04-20T13:55:58.912Z</dcterms:created>
  <dcterms:modified xsi:type="dcterms:W3CDTF">2026-04-20T13:55:58.913Z</dcterms:modified>
</cp:coreProperties>
</file>

<file path=docProps/custom.xml><?xml version="1.0" encoding="utf-8"?>
<Properties xmlns="http://schemas.openxmlformats.org/officeDocument/2006/custom-properties" xmlns:vt="http://schemas.openxmlformats.org/officeDocument/2006/docPropsVTypes"/>
</file>