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240"/>
              <w:left w:type="dxa" w:w="240"/>
              <w:bottom w:type="dxa" w:w="240"/>
              <w:right w:type="dxa" w:w="240"/>
            </w:tcMar>
          </w:tcPr>
          <w:p>
            <w:pPr>
              <w:jc w:val="center"/>
            </w:pPr>
            <w:r>
              <w:rPr>
                <w:rFonts w:ascii="Arial" w:cs="Arial" w:eastAsia="Arial" w:hAnsi="Arial"/>
                <w:b/>
                <w:bCs/>
                <w:color w:val="D5E8F0"/>
                <w:sz w:val="22"/>
                <w:szCs w:val="22"/>
              </w:rPr>
              <w:t xml:space="preserve">LOOGOOTEE MFG. — TRAINING SIMULATION</w:t>
            </w:r>
          </w:p>
          <w:p>
            <w:pPr>
              <w:spacing w:before="60"/>
              <w:jc w:val="center"/>
            </w:pPr>
            <w:r>
              <w:rPr>
                <w:rFonts w:ascii="Arial" w:cs="Arial" w:eastAsia="Arial" w:hAnsi="Arial"/>
                <w:b/>
                <w:bCs/>
                <w:color w:val="FFFFFF"/>
                <w:sz w:val="40"/>
                <w:szCs w:val="40"/>
              </w:rPr>
              <w:t xml:space="preserve">ISA-95 TAG NAMING STANDARD</w:t>
            </w:r>
          </w:p>
          <w:p>
            <w:pPr>
              <w:jc w:val="center"/>
            </w:pPr>
            <w:r>
              <w:rPr>
                <w:rFonts w:ascii="Arial" w:cs="Arial" w:eastAsia="Arial" w:hAnsi="Arial"/>
                <w:color w:val="D5E8F0"/>
                <w:sz w:val="20"/>
                <w:szCs w:val="20"/>
              </w:rPr>
              <w:t xml:space="preserve">Loogootee Manufacturing, Inc.  ·  Loogootee, Illinois</w:t>
            </w:r>
          </w:p>
          <w:p>
            <w:pPr>
              <w:spacing w:before="120"/>
              <w:jc w:val="center"/>
            </w:pPr>
            <w:r>
              <w:rPr>
                <w:rFonts w:ascii="Arial" w:cs="Arial" w:eastAsia="Arial" w:hAnsi="Arial"/>
                <w:i/>
                <w:iCs/>
                <w:color w:val="D5E8F0"/>
                <w:sz w:val="20"/>
                <w:szCs w:val="20"/>
              </w:rPr>
              <w:t xml:space="preserve">Prepared by: Jeremy Field  ·  Senior Automation Technician</w:t>
            </w:r>
          </w:p>
          <w:p>
            <w:pPr>
              <w:jc w:val="center"/>
            </w:pPr>
            <w:r>
              <w:rPr>
                <w:rFonts w:ascii="Arial" w:cs="Arial" w:eastAsia="Arial" w:hAnsi="Arial"/>
                <w:i/>
                <w:iCs/>
                <w:color w:val="D5E8F0"/>
                <w:sz w:val="18"/>
                <w:szCs w:val="18"/>
              </w:rPr>
              <w:t xml:space="preserve">Loogootee Mfg., Inc.  ·  Loogootee, Illinois  ·  March 2026</w:t>
            </w:r>
          </w:p>
          <w:p>
            <w:pPr>
              <w:jc w:val="center"/>
            </w:pPr>
            <w:r>
              <w:rPr>
                <w:rFonts w:ascii="Arial" w:cs="Arial" w:eastAsia="Arial" w:hAnsi="Arial"/>
                <w:i/>
                <w:iCs/>
                <w:color w:val="D5E8F0"/>
                <w:sz w:val="18"/>
                <w:szCs w:val="18"/>
              </w:rPr>
              <w:t xml:space="preserve">Document Rev 0.1  ·  Training Simulation — Not for Distribution</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10"/>
              <w:left w:type="dxa" w:w="150"/>
              <w:bottom w:type="dxa" w:w="110"/>
              <w:right w:type="dxa" w:w="150"/>
            </w:tcMar>
          </w:tcPr>
          <w:p>
            <w:r>
              <w:rPr>
                <w:rFonts w:ascii="Arial" w:cs="Arial" w:eastAsia="Arial" w:hAnsi="Arial"/>
                <w:b/>
                <w:bCs/>
                <w:color w:val="7F6000"/>
                <w:sz w:val="20"/>
                <w:szCs w:val="20"/>
              </w:rPr>
              <w:t xml:space="preserve">TRAINING SIMULATION NOTICE</w:t>
            </w:r>
          </w:p>
          <w:p>
            <w:r>
              <w:rPr>
                <w:rFonts w:ascii="Arial" w:cs="Arial" w:eastAsia="Arial" w:hAnsi="Arial"/>
                <w:sz w:val="20"/>
                <w:szCs w:val="20"/>
              </w:rPr>
              <w:t xml:space="preserve">This document defines the tag naming standard for a fictional company created for an IIoT training simulation. All tag names and equipment references are fabricated for educational purposes.</w:t>
            </w:r>
          </w:p>
        </w:tc>
      </w:tr>
    </w:tbl>
    <w:p>
      <w:pPr>
        <w:spacing w:after="0" w:before="100"/>
      </w:pPr>
    </w:p>
    <w:p>
      <w:pPr>
        <w:pBdr>
          <w:bottom w:val="single" w:color="1F3864" w:sz="6" w:space="1"/>
        </w:pBdr>
        <w:spacing w:after="120" w:before="320"/>
      </w:pPr>
      <w:r>
        <w:rPr>
          <w:rFonts w:ascii="Arial" w:cs="Arial" w:eastAsia="Arial" w:hAnsi="Arial"/>
          <w:b/>
          <w:bCs/>
          <w:color w:val="1F3864"/>
          <w:sz w:val="24"/>
          <w:szCs w:val="24"/>
        </w:rPr>
        <w:t xml:space="preserve">1.  Purpose and Scope</w:t>
      </w:r>
    </w:p>
    <w:p>
      <w:pPr>
        <w:spacing w:after="80" w:before="80"/>
      </w:pPr>
      <w:r>
        <w:rPr>
          <w:rFonts w:ascii="Arial" w:cs="Arial" w:eastAsia="Arial" w:hAnsi="Arial"/>
          <w:sz w:val="20"/>
          <w:szCs w:val="20"/>
        </w:rPr>
        <w:t xml:space="preserve">This document defines the tag naming standard for the Loogootee Manufacturing IIoT modernization engagement. It governs how data points are named at two distinct layers: within PLC programs at the controller level, and within the Unified Namespace at the integration and data infrastructure level.</w:t>
      </w:r>
    </w:p>
    <w:p>
      <w:pPr>
        <w:spacing w:after="80" w:before="80"/>
      </w:pPr>
      <w:r>
        <w:rPr>
          <w:rFonts w:ascii="Arial" w:cs="Arial" w:eastAsia="Arial" w:hAnsi="Arial"/>
          <w:sz w:val="20"/>
          <w:szCs w:val="20"/>
        </w:rPr>
        <w:t xml:space="preserve">The standard exists because tag naming is the single most consequential documentation decision in an IIoT integration project. A tag named correctly at the source appears identically in the historian, dashboard, and SCADA without any translation layer. A tag named incorrectly — or named without context — requires reconciliation at every layer it passes through, compounding maintenance burden and data quality risk across the life of the system.</w:t>
      </w:r>
    </w:p>
    <w:p>
      <w:pPr>
        <w:spacing w:after="80" w:before="80"/>
      </w:pPr>
      <w:r>
        <w:rPr>
          <w:rFonts w:ascii="Arial" w:cs="Arial" w:eastAsia="Arial" w:hAnsi="Arial"/>
          <w:sz w:val="20"/>
          <w:szCs w:val="20"/>
        </w:rPr>
        <w:t xml:space="preserve">This document is Rev 0.1. It will be revised as implementation work confirms or adjusts the constraints and conventions documented here. Known items requiring verification during programming are explicitly flagged.</w:t>
      </w:r>
    </w:p>
    <w:p>
      <w:pPr>
        <w:pBdr>
          <w:bottom w:val="single" w:color="1F3864" w:sz="6" w:space="1"/>
        </w:pBdr>
        <w:spacing w:after="120" w:before="320"/>
      </w:pPr>
      <w:r>
        <w:rPr>
          <w:rFonts w:ascii="Arial" w:cs="Arial" w:eastAsia="Arial" w:hAnsi="Arial"/>
          <w:b/>
          <w:bCs/>
          <w:color w:val="1F3864"/>
          <w:sz w:val="24"/>
          <w:szCs w:val="24"/>
        </w:rPr>
        <w:t xml:space="preserve">2.  Two-Tier Naming Architecture</w:t>
      </w:r>
    </w:p>
    <w:p>
      <w:pPr>
        <w:spacing w:after="80" w:before="80"/>
      </w:pPr>
      <w:r>
        <w:rPr>
          <w:rFonts w:ascii="Arial" w:cs="Arial" w:eastAsia="Arial" w:hAnsi="Arial"/>
          <w:sz w:val="20"/>
          <w:szCs w:val="20"/>
        </w:rPr>
        <w:t xml:space="preserve">This engagement spans controllers from multiple generations and vendors, each with different tag naming capabilities. A single uniform naming convention cannot be applied at the PLC level across all platforms. This standard therefore defines two tiers of tag naming with a defined reconciliation path between them.</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Tier</w:t>
            </w:r>
          </w:p>
        </w:tc>
        <w:tc>
          <w:tcPr>
            <w:tcW w:type="dxa" w:w="37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Applies To</w:t>
            </w:r>
          </w:p>
        </w:tc>
        <w:tc>
          <w:tcPr>
            <w:tcW w:type="dxa" w:w="3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Convention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Tier 1 — PLC Internal</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RSLogix 500 (MicroLogix 1000 and 1400) — character limit constrained</w:t>
            </w:r>
          </w:p>
        </w:tc>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Device_Attribute — no hierarchy context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Tier 2 — UNS Metrics</w:t>
            </w:r>
          </w:p>
        </w:tc>
        <w:tc>
          <w:tcPr>
            <w:tcW w:type="dxa" w:w="3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All platforms — applied at integration layer by EPIC and Node-RED</w:t>
            </w:r>
          </w:p>
        </w:tc>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Site_Area_Device_Attribute — full ISA-95 hierarchy</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10"/>
              <w:left w:type="dxa" w:w="150"/>
              <w:bottom w:type="dxa" w:w="110"/>
              <w:right w:type="dxa" w:w="150"/>
            </w:tcMar>
          </w:tcPr>
          <w:p>
            <w:r>
              <w:rPr>
                <w:rFonts w:ascii="Arial" w:cs="Arial" w:eastAsia="Arial" w:hAnsi="Arial"/>
                <w:b/>
                <w:bCs/>
                <w:color w:val="1F3864"/>
                <w:sz w:val="20"/>
                <w:szCs w:val="20"/>
              </w:rPr>
              <w:t xml:space="preserve">PRINCIPLE</w:t>
            </w:r>
          </w:p>
          <w:p>
            <w:r>
              <w:rPr>
                <w:rFonts w:ascii="Arial" w:cs="Arial" w:eastAsia="Arial" w:hAnsi="Arial"/>
                <w:sz w:val="20"/>
                <w:szCs w:val="20"/>
              </w:rPr>
              <w:t xml:space="preserve">The PLC is a data source. The integration layer is where context is applied. A tag named Press_Running in RSLogix 500 becomes Site1_Stamping_Press01_Machine_Running in the UNS. Same value. Completely different meaning to any system consuming it.</w:t>
            </w:r>
          </w:p>
        </w:tc>
      </w:tr>
    </w:tbl>
    <w:p>
      <w:pPr>
        <w:pBdr>
          <w:bottom w:val="single" w:color="1F3864" w:sz="6" w:space="1"/>
        </w:pBdr>
        <w:spacing w:after="120" w:before="320"/>
      </w:pPr>
      <w:r>
        <w:rPr>
          <w:rFonts w:ascii="Arial" w:cs="Arial" w:eastAsia="Arial" w:hAnsi="Arial"/>
          <w:b/>
          <w:bCs/>
          <w:color w:val="1F3864"/>
          <w:sz w:val="24"/>
          <w:szCs w:val="24"/>
        </w:rPr>
        <w:t xml:space="preserve">3.  Tier 1 — PLC Internal Tag Naming</w:t>
      </w:r>
    </w:p>
    <w:p>
      <w:pPr>
        <w:spacing w:after="80" w:before="220"/>
      </w:pPr>
      <w:r>
        <w:rPr>
          <w:rFonts w:ascii="Arial" w:cs="Arial" w:eastAsia="Arial" w:hAnsi="Arial"/>
          <w:b/>
          <w:bCs/>
          <w:color w:val="1F3864"/>
          <w:sz w:val="22"/>
          <w:szCs w:val="22"/>
        </w:rPr>
        <w:t xml:space="preserve">3.1  Applies To</w:t>
      </w:r>
    </w:p>
    <w:p>
      <w:pPr>
        <w:spacing w:after="80" w:before="80"/>
      </w:pPr>
      <w:r>
        <w:rPr>
          <w:rFonts w:ascii="Arial" w:cs="Arial" w:eastAsia="Arial" w:hAnsi="Arial"/>
          <w:sz w:val="20"/>
          <w:szCs w:val="20"/>
        </w:rPr>
        <w:t xml:space="preserve">RSLogix 500 programming software — MicroLogix 1000 (Trimmer) and MicroLogix 1400 (Stamping Press). These are the only platforms on this rack with a tag name character limit that prevents implementation of the full ISA-95 hierarchy at the PLC level.</w:t>
      </w:r>
    </w:p>
    <w:p>
      <w:pPr>
        <w:spacing w:after="80" w:before="220"/>
      </w:pPr>
      <w:r>
        <w:rPr>
          <w:rFonts w:ascii="Arial" w:cs="Arial" w:eastAsia="Arial" w:hAnsi="Arial"/>
          <w:b/>
          <w:bCs/>
          <w:color w:val="1F3864"/>
          <w:sz w:val="22"/>
          <w:szCs w:val="22"/>
        </w:rPr>
        <w:t xml:space="preserve">3.2  Character Limit Constraint</w:t>
      </w:r>
    </w:p>
    <w:p>
      <w:pPr>
        <w:spacing w:after="80" w:before="80"/>
      </w:pPr>
      <w:r>
        <w:rPr>
          <w:rFonts w:ascii="Arial" w:cs="Arial" w:eastAsia="Arial" w:hAnsi="Arial"/>
          <w:sz w:val="20"/>
          <w:szCs w:val="20"/>
        </w:rPr>
        <w:t xml:space="preserve">RSLogix 500 imposes an approximate 16 character limit on tag names. This constraint reflects the hardware generation these controllers represent — early to mid 1990s architecture designed before networked data infrastructure was a consideration.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10"/>
              <w:left w:type="dxa" w:w="150"/>
              <w:bottom w:type="dxa" w:w="110"/>
              <w:right w:type="dxa" w:w="150"/>
            </w:tcMar>
          </w:tcPr>
          <w:p>
            <w:r>
              <w:rPr>
                <w:rFonts w:ascii="Arial" w:cs="Arial" w:eastAsia="Arial" w:hAnsi="Arial"/>
                <w:b/>
                <w:bCs/>
                <w:color w:val="7F6000"/>
                <w:sz w:val="20"/>
                <w:szCs w:val="20"/>
              </w:rPr>
              <w:t xml:space="preserve">VERIFICATION REQUIRED</w:t>
            </w:r>
          </w:p>
          <w:p>
            <w:r>
              <w:rPr>
                <w:rFonts w:ascii="Arial" w:cs="Arial" w:eastAsia="Arial" w:hAnsi="Arial"/>
                <w:sz w:val="20"/>
                <w:szCs w:val="20"/>
              </w:rPr>
              <w:t xml:space="preserve">The 16 character limit will be confirmed during RSLogix 500 programming. This document will be revised if the actual limit differs. Rev 0.1 documents the constraint as understood at time of issue.</w:t>
            </w:r>
          </w:p>
        </w:tc>
      </w:tr>
    </w:tbl>
    <w:p>
      <w:pPr>
        <w:spacing w:after="80" w:before="220"/>
      </w:pPr>
      <w:r>
        <w:rPr>
          <w:rFonts w:ascii="Arial" w:cs="Arial" w:eastAsia="Arial" w:hAnsi="Arial"/>
          <w:b/>
          <w:bCs/>
          <w:color w:val="1F3864"/>
          <w:sz w:val="22"/>
          <w:szCs w:val="22"/>
        </w:rPr>
        <w:t xml:space="preserve">3.3  Historical Context</w:t>
      </w:r>
    </w:p>
    <w:p>
      <w:pPr>
        <w:spacing w:after="80" w:before="80"/>
      </w:pPr>
      <w:r>
        <w:rPr>
          <w:rFonts w:ascii="Arial" w:cs="Arial" w:eastAsia="Arial" w:hAnsi="Arial"/>
          <w:sz w:val="20"/>
          <w:szCs w:val="20"/>
        </w:rPr>
        <w:t xml:space="preserve">The Tier 1 naming convention deliberately mirrors common practice in North American manufacturing facilities of the era these controllers represent. Programs written for MicroLogix and SLC-500 platforms in the 1990s and 2000s routinely treated each machine as an independent object. Tags were named within the context of the machine only — no department, line, or facility context was included.</w:t>
      </w:r>
    </w:p>
    <w:p>
      <w:pPr>
        <w:spacing w:after="80" w:before="80"/>
      </w:pPr>
      <w:r>
        <w:rPr>
          <w:rFonts w:ascii="Arial" w:cs="Arial" w:eastAsia="Arial" w:hAnsi="Arial"/>
          <w:sz w:val="20"/>
          <w:szCs w:val="20"/>
        </w:rPr>
        <w:t xml:space="preserve">The result was tags like Press_Running, Parts_Count, and Fault_Code — functional and readable within the machine program, but completely uncontextualized at any level above the controller. This is not a criticism of past practice. It reflected the state of the technology and the operational reality of the time. It is, however, exactly the problem that IIoT modernization exists to solve.</w:t>
      </w:r>
    </w:p>
    <w:p>
      <w:pPr>
        <w:spacing w:after="80" w:before="80"/>
      </w:pPr>
      <w:r>
        <w:rPr>
          <w:rFonts w:ascii="Arial" w:cs="Arial" w:eastAsia="Arial" w:hAnsi="Arial"/>
          <w:sz w:val="20"/>
          <w:szCs w:val="20"/>
        </w:rPr>
        <w:t xml:space="preserve">By intentionally implementing this historical pattern on the MicroLogix controllers in this simulation, the rack demonstrates the contrast between legacy naming practice and modern ISA-95 contextualization in a physically visible way. When a client sees Press_Running in the RSLogix 500 tag browser and Site1_Stamping_Press01_Machine_Running in the UNS topic tree, the value of the integration layer is immediately self-evident.</w:t>
      </w:r>
    </w:p>
    <w:p>
      <w:pPr>
        <w:spacing w:after="80" w:before="220"/>
      </w:pPr>
      <w:r>
        <w:rPr>
          <w:rFonts w:ascii="Arial" w:cs="Arial" w:eastAsia="Arial" w:hAnsi="Arial"/>
          <w:b/>
          <w:bCs/>
          <w:color w:val="1F3864"/>
          <w:sz w:val="22"/>
          <w:szCs w:val="22"/>
        </w:rPr>
        <w:t xml:space="preserve">3.4  Tier 1 Naming Convention</w:t>
      </w:r>
    </w:p>
    <w:p>
      <w:pPr>
        <w:spacing w:after="80" w:before="80"/>
      </w:pPr>
      <w:r>
        <w:rPr>
          <w:rFonts w:ascii="Arial" w:cs="Arial" w:eastAsia="Arial" w:hAnsi="Arial"/>
          <w:sz w:val="20"/>
          <w:szCs w:val="20"/>
        </w:rPr>
        <w:t xml:space="preserve">Formula: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pPr>
              <w:jc w:val="center"/>
            </w:pPr>
            <w:r>
              <w:rPr>
                <w:rFonts w:ascii="Courier New" w:cs="Courier New" w:eastAsia="Courier New" w:hAnsi="Courier New"/>
                <w:b/>
                <w:bCs/>
                <w:color w:val="90EE90"/>
                <w:sz w:val="24"/>
                <w:szCs w:val="24"/>
              </w:rPr>
              <w:t xml:space="preserve">Device_Attribute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360"/>
      </w:tblGrid>
      <w:tr>
        <w:tc>
          <w:tcPr>
            <w:tcW w:type="dxa" w:w="3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Rule</w:t>
            </w:r>
          </w:p>
        </w:tc>
        <w:tc>
          <w:tcPr>
            <w:tcW w:type="dxa" w:w="2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Correct</w:t>
            </w:r>
          </w:p>
        </w:tc>
        <w:tc>
          <w:tcPr>
            <w:tcW w:type="dxa" w:w="3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Incorrect</w:t>
            </w:r>
          </w:p>
        </w:tc>
      </w:tr>
      <w:tr>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Snake_Case — capitalize each word</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Parts_Count</w:t>
            </w:r>
          </w:p>
        </w:tc>
        <w:tc>
          <w:tcPr>
            <w:tcW w:type="dxa" w:w="3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parts_count</w:t>
            </w:r>
          </w:p>
        </w:tc>
      </w:tr>
      <w:tr>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Boolean — name the TRUE state</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Press_Running</w:t>
            </w:r>
          </w:p>
        </w:tc>
        <w:tc>
          <w:tcPr>
            <w:tcW w:type="dxa" w:w="3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Press_Status</w:t>
            </w:r>
          </w:p>
        </w:tc>
      </w:tr>
      <w:tr>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 address references</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Part_Present</w:t>
            </w:r>
          </w:p>
        </w:tc>
        <w:tc>
          <w:tcPr>
            <w:tcW w:type="dxa" w:w="3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Input_I0</w:t>
            </w:r>
          </w:p>
        </w:tc>
      </w:tr>
      <w:tr>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Zero-padded numbers</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Drive01_Spd</w:t>
            </w:r>
          </w:p>
        </w:tc>
        <w:tc>
          <w:tcPr>
            <w:tcW w:type="dxa" w:w="3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Drive1_Spd</w:t>
            </w:r>
          </w:p>
        </w:tc>
      </w:tr>
      <w:tr>
        <w:tc>
          <w:tcPr>
            <w:tcW w:type="dxa" w:w="3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Abbreviate to fit limit</w:t>
            </w:r>
          </w:p>
        </w:tc>
        <w:tc>
          <w:tcPr>
            <w:tcW w:type="dxa" w:w="24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Batch_Rdy</w:t>
            </w:r>
          </w:p>
        </w:tc>
        <w:tc>
          <w:tcPr>
            <w:tcW w:type="dxa" w:w="3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Batch_Ready_To_Transfer</w:t>
            </w:r>
          </w:p>
        </w:tc>
      </w:tr>
    </w:tbl>
    <w:p>
      <w:pPr>
        <w:spacing w:after="80" w:before="220"/>
      </w:pPr>
      <w:r>
        <w:rPr>
          <w:rFonts w:ascii="Arial" w:cs="Arial" w:eastAsia="Arial" w:hAnsi="Arial"/>
          <w:b/>
          <w:bCs/>
          <w:color w:val="1F3864"/>
          <w:sz w:val="22"/>
          <w:szCs w:val="22"/>
        </w:rPr>
        <w:t xml:space="preserve">3.5  Tier 1 Example Tags — MicroLogix 1400 Stamping Press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c>
          <w:tcPr>
            <w:tcW w:type="dxa" w:w="3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Tier 1 Tag Name</w:t>
            </w:r>
          </w:p>
        </w:tc>
        <w:tc>
          <w:tcPr>
            <w:tcW w:type="dxa" w:w="16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Char Count</w:t>
            </w:r>
          </w:p>
        </w:tc>
        <w:tc>
          <w:tcPr>
            <w:tcW w:type="dxa" w:w="4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Press_Running</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Machine running state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Press_Faulted</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13</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Active fault state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Parts_Count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Cumulative part counter</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Parts_Shift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Shift part counter</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Fault_Code</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Active fault code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Batch_Size</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Configured batch size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Batch_Count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Completed batch count</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Batch_Rdy</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Batch ready for trimmer</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Cycle_Time</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10</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Current cycle time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OEE_Pct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7</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OEE percentage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Avail_Pct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9</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Availability percentage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Perf_Pct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Performance percentage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Qual_Pct</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8</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Quality percentage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Dwntime_Sec</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Downtime accumulator</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Runtime_Sec</w:t>
            </w:r>
          </w:p>
        </w:tc>
        <w:tc>
          <w:tcPr>
            <w:tcW w:type="dxa" w:w="16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11</w:t>
            </w:r>
          </w:p>
        </w:tc>
        <w:tc>
          <w:tcPr>
            <w:tcW w:type="dxa" w:w="4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Runtime accumulator</w:t>
            </w:r>
          </w:p>
        </w:tc>
      </w:tr>
    </w:tbl>
    <w:p>
      <w:pPr>
        <w:pBdr>
          <w:bottom w:val="single" w:color="1F3864" w:sz="6" w:space="1"/>
        </w:pBdr>
        <w:spacing w:after="120" w:before="320"/>
      </w:pPr>
      <w:r>
        <w:rPr>
          <w:rFonts w:ascii="Arial" w:cs="Arial" w:eastAsia="Arial" w:hAnsi="Arial"/>
          <w:b/>
          <w:bCs/>
          <w:color w:val="1F3864"/>
          <w:sz w:val="24"/>
          <w:szCs w:val="24"/>
        </w:rPr>
        <w:t xml:space="preserve">4.  Tier 2 — UNS Metric Naming</w:t>
      </w:r>
    </w:p>
    <w:p>
      <w:pPr>
        <w:spacing w:after="80" w:before="220"/>
      </w:pPr>
      <w:r>
        <w:rPr>
          <w:rFonts w:ascii="Arial" w:cs="Arial" w:eastAsia="Arial" w:hAnsi="Arial"/>
          <w:b/>
          <w:bCs/>
          <w:color w:val="1F3864"/>
          <w:sz w:val="22"/>
          <w:szCs w:val="22"/>
        </w:rPr>
        <w:t xml:space="preserve">4.1  Applies To</w:t>
      </w:r>
    </w:p>
    <w:p>
      <w:pPr>
        <w:spacing w:after="80" w:before="80"/>
      </w:pPr>
      <w:r>
        <w:rPr>
          <w:rFonts w:ascii="Arial" w:cs="Arial" w:eastAsia="Arial" w:hAnsi="Arial"/>
          <w:sz w:val="20"/>
          <w:szCs w:val="20"/>
        </w:rPr>
        <w:t xml:space="preserve">All platforms. Tier 2 naming is applied at the integration layer — EPIC Node-RED flows read PLC tags via native protocols and publish ISA-95 named Sparkplug B metrics to the Unified Namespace. The metric name applied at publish is the Tier 2 name regardless of what the tag was called inside the PLC program.</w:t>
      </w:r>
    </w:p>
    <w:p>
      <w:pPr>
        <w:spacing w:after="80" w:before="80"/>
      </w:pPr>
      <w:r>
        <w:rPr>
          <w:rFonts w:ascii="Arial" w:cs="Arial" w:eastAsia="Arial" w:hAnsi="Arial"/>
          <w:sz w:val="20"/>
          <w:szCs w:val="20"/>
        </w:rPr>
        <w:t xml:space="preserve">For modern platforms — Micro850, CompactLogix, GuardLogix, S7-1200, Beckhoff CX5120, Wago PFC200, groov EPIC — the full ISA-95 convention can be implemented directly in the PLC program. The Tier 2 metric name and the PLC internal tag name are identical on these platforms. For RSLogix 500 platforms, the Tier 2 name is applied only at the integration layer.</w:t>
      </w:r>
    </w:p>
    <w:p>
      <w:pPr>
        <w:spacing w:after="80" w:before="220"/>
      </w:pPr>
      <w:r>
        <w:rPr>
          <w:rFonts w:ascii="Arial" w:cs="Arial" w:eastAsia="Arial" w:hAnsi="Arial"/>
          <w:b/>
          <w:bCs/>
          <w:color w:val="1F3864"/>
          <w:sz w:val="22"/>
          <w:szCs w:val="22"/>
        </w:rPr>
        <w:t xml:space="preserve">4.2  Enterprise Level — Deliberately Excluded</w:t>
      </w:r>
    </w:p>
    <w:p>
      <w:pPr>
        <w:spacing w:after="80" w:before="80"/>
      </w:pPr>
      <w:r>
        <w:rPr>
          <w:rFonts w:ascii="Arial" w:cs="Arial" w:eastAsia="Arial" w:hAnsi="Arial"/>
          <w:sz w:val="20"/>
          <w:szCs w:val="20"/>
        </w:rPr>
        <w:t xml:space="preserve">Enterprise context is carried in the Sparkplug B topic group_id and is not repeated in the metric name. This decision was made on two grounds: metric name length is a practical constraint across PLC tag databases, HMI displays, and historian queries; and enterprise context is already fully present in the topic path, making its inclusion in the metric name redundant rather than additive.</w:t>
      </w:r>
    </w:p>
    <w:p>
      <w:pPr>
        <w:spacing w:after="80" w:before="80"/>
      </w:pPr>
      <w:r>
        <w:rPr>
          <w:rFonts w:ascii="Arial" w:cs="Arial" w:eastAsia="Arial" w:hAnsi="Arial"/>
          <w:sz w:val="20"/>
          <w:szCs w:val="20"/>
        </w:rPr>
        <w:t xml:space="preserve">This is consistent with how leading practitioners implement ISA-95 metric naming in UNS deployments. The metric name provides self-description at the data point level. The topic path provides self-description at the enterprise and site level. Together they deliver complete context without unnecessary length.</w:t>
      </w:r>
    </w:p>
    <w:p>
      <w:pPr>
        <w:spacing w:after="80" w:before="220"/>
      </w:pPr>
      <w:r>
        <w:rPr>
          <w:rFonts w:ascii="Arial" w:cs="Arial" w:eastAsia="Arial" w:hAnsi="Arial"/>
          <w:b/>
          <w:bCs/>
          <w:color w:val="1F3864"/>
          <w:sz w:val="22"/>
          <w:szCs w:val="22"/>
        </w:rPr>
        <w:t xml:space="preserve">4.3  Tier 2 Naming Formula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pPr>
              <w:jc w:val="center"/>
            </w:pPr>
            <w:r>
              <w:rPr>
                <w:rFonts w:ascii="Courier New" w:cs="Courier New" w:eastAsia="Courier New" w:hAnsi="Courier New"/>
                <w:b/>
                <w:bCs/>
                <w:color w:val="90EE90"/>
                <w:sz w:val="24"/>
                <w:szCs w:val="24"/>
              </w:rPr>
              <w:t xml:space="preserve">[Site]_[Area]_[Device]_[Attribute]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Site</w:t>
            </w:r>
          </w:p>
        </w:tc>
        <w:tc>
          <w:tcPr>
            <w:tcW w:type="dxa" w:w="7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Site identifier. Site1 or Site2. Top level of the metric name hierarchy.</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Area</w:t>
            </w:r>
          </w:p>
        </w:tc>
        <w:tc>
          <w:tcPr>
            <w:tcW w:type="dxa" w:w="7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Production area. Matches the ISA-95 equipment hierarchy area assignment for the controller. See Section 5.</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Device</w:t>
            </w:r>
          </w:p>
        </w:tc>
        <w:tc>
          <w:tcPr>
            <w:tcW w:type="dxa" w:w="7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The specific device, sub-system, or functional role within the area. For multi-controller cells, Device identifies the functional role not the hardware platform.</w:t>
            </w:r>
          </w:p>
        </w:tc>
      </w:tr>
      <w:tr>
        <w:tc>
          <w:tcPr>
            <w:tcW w:type="dxa" w:w="16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Attribute</w:t>
            </w:r>
          </w:p>
        </w:tc>
        <w:tc>
          <w:tcPr>
            <w:tcW w:type="dxa" w:w="77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The specific data point. Includes engineering unit suffix for all analog and numeric values.</w:t>
            </w:r>
          </w:p>
        </w:tc>
      </w:tr>
    </w:tbl>
    <w:p>
      <w:pPr>
        <w:spacing w:after="80" w:before="220"/>
      </w:pPr>
      <w:r>
        <w:rPr>
          <w:rFonts w:ascii="Arial" w:cs="Arial" w:eastAsia="Arial" w:hAnsi="Arial"/>
          <w:b/>
          <w:bCs/>
          <w:color w:val="1F3864"/>
          <w:sz w:val="22"/>
          <w:szCs w:val="22"/>
        </w:rPr>
        <w:t xml:space="preserve">4.4  Naming Rules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80"/>
        <w:gridCol w:w="3080"/>
      </w:tblGrid>
      <w:tr>
        <w:tc>
          <w:tcPr>
            <w:tcW w:type="dxa" w:w="34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Rule</w:t>
            </w:r>
          </w:p>
        </w:tc>
        <w:tc>
          <w:tcPr>
            <w:tcW w:type="dxa" w:w="288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Correct</w:t>
            </w:r>
          </w:p>
        </w:tc>
        <w:tc>
          <w:tcPr>
            <w:tcW w:type="dxa" w:w="308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Incorrect</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Snake_Case — capitalize each word</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Machine_Running</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machine_running</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Boolean — name the TRUE state</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Machine_Running</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Machine_Status</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Analog — engineering unit suffix</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Cycle_Time_Sec</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Cycle_Time</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Object first — noun before modifier</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Motor_Left_Running</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Left_Motor_Running</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 address references</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Part_Present_Sensor</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Input_Slot2_Bit3</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Zero-padded numbers</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Drive01_Speed_RPM</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Drive1_Speed_RPM</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 abbreviations unless standard</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Reject_Count_Shift</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Rej_Cnt_Shft</w:t>
            </w:r>
          </w:p>
        </w:tc>
      </w:tr>
      <w:tr>
        <w:tc>
          <w:tcPr>
            <w:tcW w:type="dxa" w:w="34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No double area reference</w:t>
            </w:r>
          </w:p>
        </w:tc>
        <w:tc>
          <w:tcPr>
            <w:tcW w:type="dxa" w:w="28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Site1_Wash_Process_Temp_F</w:t>
            </w:r>
          </w:p>
        </w:tc>
        <w:tc>
          <w:tcPr>
            <w:tcW w:type="dxa" w:w="308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Site1_Wash_Wash_Temp_F</w:t>
            </w:r>
          </w:p>
        </w:tc>
      </w:tr>
    </w:tbl>
    <w:p>
      <w:pPr>
        <w:spacing w:after="80" w:before="220"/>
      </w:pPr>
      <w:r>
        <w:rPr>
          <w:rFonts w:ascii="Arial" w:cs="Arial" w:eastAsia="Arial" w:hAnsi="Arial"/>
          <w:b/>
          <w:bCs/>
          <w:color w:val="1F3864"/>
          <w:sz w:val="22"/>
          <w:szCs w:val="22"/>
        </w:rPr>
        <w:t xml:space="preserve">4.5  Engineering Unit Suffixes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480"/>
        <w:gridCol w:w="1200"/>
        <w:gridCol w:w="3480"/>
      </w:tblGrid>
      <w:tr>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Suffix</w:t>
            </w:r>
          </w:p>
        </w:tc>
        <w:tc>
          <w:tcPr>
            <w:tcW w:type="dxa" w:w="348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c>
          <w:tcPr>
            <w:tcW w:type="dxa" w:w="1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Suffix</w:t>
            </w:r>
          </w:p>
        </w:tc>
        <w:tc>
          <w:tcPr>
            <w:tcW w:type="dxa" w:w="348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Unit</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_Sec</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Seconds</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_RPM</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Revolutions per minute</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_Min</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Minutes</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_IPM</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Inches per minute</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_Ms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Milliseconds</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_PSI</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Pounds per square inch</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_F</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Degrees Fahrenheit</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_Lb</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Pounds</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_Pct</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Percentage (0–100)</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_Count</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Unitless integer count</w:t>
            </w:r>
          </w:p>
        </w:tc>
      </w:tr>
      <w:tr>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_Hr</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Hours</w:t>
            </w:r>
          </w:p>
        </w:tc>
        <w:tc>
          <w:tcPr>
            <w:tcW w:type="dxa" w:w="1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_Pph</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Parts per hour</w:t>
            </w:r>
          </w:p>
        </w:tc>
      </w:tr>
    </w:tbl>
    <w:p>
      <w:pPr>
        <w:pBdr>
          <w:bottom w:val="single" w:color="1F3864" w:sz="6" w:space="1"/>
        </w:pBdr>
        <w:spacing w:after="120" w:before="320"/>
      </w:pPr>
      <w:r>
        <w:rPr>
          <w:rFonts w:ascii="Arial" w:cs="Arial" w:eastAsia="Arial" w:hAnsi="Arial"/>
          <w:b/>
          <w:bCs/>
          <w:color w:val="1F3864"/>
          <w:sz w:val="24"/>
          <w:szCs w:val="24"/>
        </w:rPr>
        <w:t xml:space="preserve">5.  ISA-95 Hierarchy and Area Assignments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E8E8E8"/>
                <w:sz w:val="18"/>
                <w:szCs w:val="18"/>
              </w:rPr>
              <w:t xml:space="preserve">Enterprise</w:t>
            </w:r>
          </w:p>
          <w:p>
            <w:r>
              <w:rPr>
                <w:rFonts w:ascii="Courier New" w:cs="Courier New" w:eastAsia="Courier New" w:hAnsi="Courier New"/>
                <w:color w:val="D5E8F0"/>
                <w:sz w:val="18"/>
                <w:szCs w:val="18"/>
              </w:rPr>
              <w:t xml:space="preserve">  Loogootee_Mfg</w:t>
            </w:r>
          </w:p>
          <w:p>
            <w:r>
              <w:rPr>
                <w:rFonts w:ascii="Courier New" w:cs="Courier New" w:eastAsia="Courier New" w:hAnsi="Courier New"/>
                <w:color w:val="D5E8F0"/>
                <w:sz w:val="18"/>
                <w:szCs w:val="18"/>
              </w:rPr>
              <w:t xml:space="preserve">    Site1  (Site1_)</w:t>
            </w:r>
          </w:p>
          <w:p>
            <w:r>
              <w:rPr>
                <w:rFonts w:ascii="Courier New" w:cs="Courier New" w:eastAsia="Courier New" w:hAnsi="Courier New"/>
                <w:color w:val="E8E8E8"/>
                <w:sz w:val="18"/>
                <w:szCs w:val="18"/>
              </w:rPr>
              <w:t xml:space="preserve">      Stamping      MicroLogix 1400 — Stamping Press</w:t>
            </w:r>
          </w:p>
          <w:p>
            <w:r>
              <w:rPr>
                <w:rFonts w:ascii="Courier New" w:cs="Courier New" w:eastAsia="Courier New" w:hAnsi="Courier New"/>
                <w:color w:val="E8E8E8"/>
                <w:sz w:val="18"/>
                <w:szCs w:val="18"/>
              </w:rPr>
              <w:t xml:space="preserve">      Trimming      MicroLogix 1000 — Trimmer</w:t>
            </w:r>
          </w:p>
          <w:p>
            <w:r>
              <w:rPr>
                <w:rFonts w:ascii="Courier New" w:cs="Courier New" w:eastAsia="Courier New" w:hAnsi="Courier New"/>
                <w:color w:val="E8E8E8"/>
                <w:sz w:val="18"/>
                <w:szCs w:val="18"/>
              </w:rPr>
              <w:t xml:space="preserve">      Forming       Beckhoff CX5120 — High Speed Forming</w:t>
            </w:r>
          </w:p>
          <w:p>
            <w:r>
              <w:rPr>
                <w:rFonts w:ascii="Courier New" w:cs="Courier New" w:eastAsia="Courier New" w:hAnsi="Courier New"/>
                <w:color w:val="E8E8E8"/>
                <w:sz w:val="18"/>
                <w:szCs w:val="18"/>
              </w:rPr>
              <w:t xml:space="preserve">      Wash          CompactLogix L24ER (Process) + GuardLogix (Safety)</w:t>
            </w:r>
          </w:p>
          <w:p>
            <w:r>
              <w:rPr>
                <w:rFonts w:ascii="Courier New" w:cs="Courier New" w:eastAsia="Courier New" w:hAnsi="Courier New"/>
                <w:color w:val="E8E8E8"/>
                <w:sz w:val="18"/>
                <w:szCs w:val="18"/>
              </w:rPr>
              <w:t xml:space="preserve">      Inspection    S7-1200 #1 + ET200SP PROFINET — Inspection and Sorting</w:t>
            </w:r>
          </w:p>
          <w:p>
            <w:r>
              <w:rPr>
                <w:rFonts w:ascii="Courier New" w:cs="Courier New" w:eastAsia="Courier New" w:hAnsi="Courier New"/>
                <w:color w:val="E8E8E8"/>
                <w:sz w:val="18"/>
                <w:szCs w:val="18"/>
              </w:rPr>
              <w:t xml:space="preserve">      Conveyor      S7-1200 #2 + ET200SP PROFIBUS — Intra-Site Conveyor</w:t>
            </w:r>
          </w:p>
          <w:p>
            <w:r>
              <w:rPr>
                <w:rFonts w:ascii="Courier New" w:cs="Courier New" w:eastAsia="Courier New" w:hAnsi="Courier New"/>
                <w:color w:val="E8E8E8"/>
                <w:sz w:val="18"/>
                <w:szCs w:val="18"/>
              </w:rPr>
              <w:t xml:space="preserve">      Palletizing   Micro850 — Palletizer / Bulk Bin Staging</w:t>
            </w:r>
          </w:p>
          <w:p>
            <w:r>
              <w:rPr>
                <w:rFonts w:ascii="Courier New" w:cs="Courier New" w:eastAsia="Courier New" w:hAnsi="Courier New"/>
                <w:color w:val="E8E8E8"/>
                <w:sz w:val="18"/>
                <w:szCs w:val="18"/>
              </w:rPr>
              <w:t xml:space="preserve">      Supervisory   groov EPIC-PR1 — Site 1 Command</w:t>
            </w:r>
          </w:p>
          <w:p>
            <w:r>
              <w:rPr>
                <w:rFonts w:ascii="Courier New" w:cs="Courier New" w:eastAsia="Courier New" w:hAnsi="Courier New"/>
                <w:color w:val="D5E8F0"/>
                <w:sz w:val="18"/>
                <w:szCs w:val="18"/>
              </w:rPr>
              <w:t xml:space="preserve">    Site2  (Site2_)</w:t>
            </w:r>
          </w:p>
          <w:p>
            <w:r>
              <w:rPr>
                <w:rFonts w:ascii="Courier New" w:cs="Courier New" w:eastAsia="Courier New" w:hAnsi="Courier New"/>
                <w:color w:val="E8E8E8"/>
                <w:sz w:val="18"/>
                <w:szCs w:val="18"/>
              </w:rPr>
              <w:t xml:space="preserve">      Packaging     Wago PFC200 — Packaging / Warehouse / Shipping</w:t>
            </w:r>
          </w:p>
        </w:tc>
      </w:tr>
    </w:tbl>
    <w:p>
      <w:pPr>
        <w:spacing w:after="0" w:before="100"/>
      </w:pPr>
    </w:p>
    <w:p>
      <w:pPr>
        <w:spacing w:after="80" w:before="80"/>
      </w:pPr>
      <w:r>
        <w:rPr>
          <w:rFonts w:ascii="Arial" w:cs="Arial" w:eastAsia="Arial" w:hAnsi="Arial"/>
          <w:sz w:val="20"/>
          <w:szCs w:val="20"/>
        </w:rPr>
        <w:t xml:space="preserve">Note on the Wash cell: the CompactLogix L24ER and GuardLogix share a single area designation — Wash. Two controllers, one production cell. The Device level of the metric name identifies functional role: Process for CompactLogix data, Safety for GuardLogix data. This prevents double area reference and correctly models the relationship between the two controllers.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90EE90"/>
                <w:sz w:val="18"/>
                <w:szCs w:val="18"/>
              </w:rPr>
              <w:t xml:space="preserve">Site1_Wash_Process_Temp_F              (CompactLogix — process data)</w:t>
            </w:r>
          </w:p>
          <w:p>
            <w:r>
              <w:rPr>
                <w:rFonts w:ascii="Courier New" w:cs="Courier New" w:eastAsia="Courier New" w:hAnsi="Courier New"/>
                <w:color w:val="90EE90"/>
                <w:sz w:val="18"/>
                <w:szCs w:val="18"/>
              </w:rPr>
              <w:t xml:space="preserve">Site1_Wash_Process_Parts_Per_Hour      (CompactLogix — process data)</w:t>
            </w:r>
          </w:p>
          <w:p>
            <w:r>
              <w:rPr>
                <w:rFonts w:ascii="Courier New" w:cs="Courier New" w:eastAsia="Courier New" w:hAnsi="Courier New"/>
                <w:color w:val="90EE90"/>
                <w:sz w:val="18"/>
                <w:szCs w:val="18"/>
              </w:rPr>
              <w:t xml:space="preserve">Site1_Wash_Safety_Circuit_OK           (GuardLogix — safety data)</w:t>
            </w:r>
          </w:p>
          <w:p>
            <w:r>
              <w:rPr>
                <w:rFonts w:ascii="Courier New" w:cs="Courier New" w:eastAsia="Courier New" w:hAnsi="Courier New"/>
                <w:color w:val="90EE90"/>
                <w:sz w:val="18"/>
                <w:szCs w:val="18"/>
              </w:rPr>
              <w:t xml:space="preserve">Site1_Wash_Safety_Light_Curtain_Breach (GuardLogix — safety data)</w:t>
            </w:r>
          </w:p>
        </w:tc>
      </w:tr>
    </w:tbl>
    <w:p>
      <w:pPr>
        <w:pBdr>
          <w:bottom w:val="single" w:color="1F3864" w:sz="6" w:space="1"/>
        </w:pBdr>
        <w:spacing w:after="120" w:before="320"/>
      </w:pPr>
      <w:r>
        <w:rPr>
          <w:rFonts w:ascii="Arial" w:cs="Arial" w:eastAsia="Arial" w:hAnsi="Arial"/>
          <w:b/>
          <w:bCs/>
          <w:color w:val="1F3864"/>
          <w:sz w:val="24"/>
          <w:szCs w:val="24"/>
        </w:rPr>
        <w:t xml:space="preserve">6.  MQTT Topic Mapping</w:t>
      </w:r>
    </w:p>
    <w:p>
      <w:pPr>
        <w:spacing w:after="80" w:before="80"/>
      </w:pPr>
      <w:r>
        <w:rPr>
          <w:rFonts w:ascii="Arial" w:cs="Arial" w:eastAsia="Arial" w:hAnsi="Arial"/>
          <w:sz w:val="20"/>
          <w:szCs w:val="20"/>
        </w:rPr>
        <w:t xml:space="preserve">Tier 2 metric names map directly to Sparkplug B MQTT topic structure. The topic path carries enterprise and site context. The metric name carries area, device, and attribute context. Together they provide complete ISA-95 hierarchy without redundancy.</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B2B2B" w:val="clear"/>
            <w:tcMar>
              <w:top w:type="dxa" w:w="120"/>
              <w:left w:type="dxa" w:w="160"/>
              <w:bottom w:type="dxa" w:w="120"/>
              <w:right w:type="dxa" w:w="160"/>
            </w:tcMar>
          </w:tcPr>
          <w:p>
            <w:r>
              <w:rPr>
                <w:rFonts w:ascii="Courier New" w:cs="Courier New" w:eastAsia="Courier New" w:hAnsi="Courier New"/>
                <w:color w:val="D5E8F0"/>
                <w:sz w:val="18"/>
                <w:szCs w:val="18"/>
              </w:rPr>
              <w:t xml:space="preserve">Sparkplug B topic structure:</w:t>
            </w:r>
          </w:p>
          <w:p>
            <w:r>
              <w:rPr>
                <w:rFonts w:ascii="Courier New" w:cs="Courier New" w:eastAsia="Courier New" w:hAnsi="Courier New"/>
                <w:color w:val="E8E8E8"/>
                <w:sz w:val="18"/>
                <w:szCs w:val="18"/>
              </w:rPr>
              <w:t xml:space="preserve">  spBv1.0/[group_id]/[message_type]/[edge_node_id]/[device_id]</w:t>
            </w:r>
          </w:p>
          <w:p>
            <w:r>
              <w:rPr>
                <w:rFonts w:ascii="Courier New" w:cs="Courier New" w:eastAsia="Courier New" w:hAnsi="Courier New"/>
                <w:color w:val="E8E8E8"/>
                <w:sz w:val="18"/>
                <w:szCs w:val="18"/>
              </w:rPr>
              <w:t xml:space="preserve"> </w:t>
            </w:r>
          </w:p>
          <w:p>
            <w:r>
              <w:rPr>
                <w:rFonts w:ascii="Courier New" w:cs="Courier New" w:eastAsia="Courier New" w:hAnsi="Courier New"/>
                <w:color w:val="E8E8E8"/>
                <w:sz w:val="18"/>
                <w:szCs w:val="18"/>
              </w:rPr>
              <w:t xml:space="preserve">group_id encodes:   Enterprise_Site_Area</w:t>
            </w:r>
          </w:p>
          <w:p>
            <w:r>
              <w:rPr>
                <w:rFonts w:ascii="Courier New" w:cs="Courier New" w:eastAsia="Courier New" w:hAnsi="Courier New"/>
                <w:color w:val="E8E8E8"/>
                <w:sz w:val="18"/>
                <w:szCs w:val="18"/>
              </w:rPr>
              <w:t xml:space="preserve">metric name:        Site_Area_Device_Attribute</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Example — Stamping Press part count:</w:t>
            </w:r>
          </w:p>
          <w:p>
            <w:r>
              <w:rPr>
                <w:rFonts w:ascii="Courier New" w:cs="Courier New" w:eastAsia="Courier New" w:hAnsi="Courier New"/>
                <w:color w:val="90EE90"/>
                <w:sz w:val="18"/>
                <w:szCs w:val="18"/>
              </w:rPr>
              <w:t xml:space="preserve">  Topic:   spBv1.0/Loogootee_Mfg_Site1_Stamping/DDATA/epic-pr1/ml1400-press01</w:t>
            </w:r>
          </w:p>
          <w:p>
            <w:r>
              <w:rPr>
                <w:rFonts w:ascii="Courier New" w:cs="Courier New" w:eastAsia="Courier New" w:hAnsi="Courier New"/>
                <w:color w:val="90EE90"/>
                <w:sz w:val="18"/>
                <w:szCs w:val="18"/>
              </w:rPr>
              <w:t xml:space="preserve">  Metric:  Site1_Stamping_Press01_Parts_Shift</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Example — Wash line temperature:</w:t>
            </w:r>
          </w:p>
          <w:p>
            <w:r>
              <w:rPr>
                <w:rFonts w:ascii="Courier New" w:cs="Courier New" w:eastAsia="Courier New" w:hAnsi="Courier New"/>
                <w:color w:val="90EE90"/>
                <w:sz w:val="18"/>
                <w:szCs w:val="18"/>
              </w:rPr>
              <w:t xml:space="preserve">  Topic:   spBv1.0/Loogootee_Mfg_Site1_Wash/DDATA/epic-pr1/clx-wash-01</w:t>
            </w:r>
          </w:p>
          <w:p>
            <w:r>
              <w:rPr>
                <w:rFonts w:ascii="Courier New" w:cs="Courier New" w:eastAsia="Courier New" w:hAnsi="Courier New"/>
                <w:color w:val="90EE90"/>
                <w:sz w:val="18"/>
                <w:szCs w:val="18"/>
              </w:rPr>
              <w:t xml:space="preserve">  Metric:  Site1_Wash_Process_Temp_F</w:t>
            </w:r>
          </w:p>
          <w:p>
            <w:r>
              <w:rPr>
                <w:rFonts w:ascii="Courier New" w:cs="Courier New" w:eastAsia="Courier New" w:hAnsi="Courier New"/>
                <w:color w:val="E8E8E8"/>
                <w:sz w:val="18"/>
                <w:szCs w:val="18"/>
              </w:rPr>
              <w:t xml:space="preserve"> </w:t>
            </w:r>
          </w:p>
          <w:p>
            <w:r>
              <w:rPr>
                <w:rFonts w:ascii="Courier New" w:cs="Courier New" w:eastAsia="Courier New" w:hAnsi="Courier New"/>
                <w:color w:val="D5E8F0"/>
                <w:sz w:val="18"/>
                <w:szCs w:val="18"/>
              </w:rPr>
              <w:t xml:space="preserve">Example — Site 2 packaging:</w:t>
            </w:r>
          </w:p>
          <w:p>
            <w:r>
              <w:rPr>
                <w:rFonts w:ascii="Courier New" w:cs="Courier New" w:eastAsia="Courier New" w:hAnsi="Courier New"/>
                <w:color w:val="90EE90"/>
                <w:sz w:val="18"/>
                <w:szCs w:val="18"/>
              </w:rPr>
              <w:t xml:space="preserve">  Topic:   spBv1.0/Loogootee_Mfg_Site2_Packaging/DDATA/wago-pfc-01/packaging</w:t>
            </w:r>
          </w:p>
          <w:p>
            <w:r>
              <w:rPr>
                <w:rFonts w:ascii="Courier New" w:cs="Courier New" w:eastAsia="Courier New" w:hAnsi="Courier New"/>
                <w:color w:val="90EE90"/>
                <w:sz w:val="18"/>
                <w:szCs w:val="18"/>
              </w:rPr>
              <w:t xml:space="preserve">  Metric:  Site2_Packaging_Pkg_Box_Complete</w:t>
            </w:r>
          </w:p>
        </w:tc>
      </w:tr>
    </w:tbl>
    <w:p>
      <w:pPr>
        <w:pBdr>
          <w:bottom w:val="single" w:color="1F3864" w:sz="6" w:space="1"/>
        </w:pBdr>
        <w:spacing w:after="120" w:before="320"/>
      </w:pPr>
      <w:r>
        <w:rPr>
          <w:rFonts w:ascii="Arial" w:cs="Arial" w:eastAsia="Arial" w:hAnsi="Arial"/>
          <w:b/>
          <w:bCs/>
          <w:color w:val="1F3864"/>
          <w:sz w:val="24"/>
          <w:szCs w:val="24"/>
        </w:rPr>
        <w:t xml:space="preserve">7.  Tier 1 to Tier 2 Reconciliation</w:t>
      </w:r>
    </w:p>
    <w:p>
      <w:pPr>
        <w:spacing w:after="80" w:before="80"/>
      </w:pPr>
      <w:r>
        <w:rPr>
          <w:rFonts w:ascii="Arial" w:cs="Arial" w:eastAsia="Arial" w:hAnsi="Arial"/>
          <w:sz w:val="20"/>
          <w:szCs w:val="20"/>
        </w:rPr>
        <w:t xml:space="preserve">For RSLogix 500 platforms, the EPIC Node-RED flows perform the reconciliation between the Tier 1 PLC internal tag name and the Tier 2 UNS metric name. The flow reads the raw PLC tag by its Tier 1 name via EtherNet/IP and publishes it to the UNS under its full Tier 2 metric name. The mapping is documented in Node-RED flow comments and in the integration layer configuration documentation.</w:t>
      </w:r>
    </w:p>
    <w:p>
      <w:pPr>
        <w:spacing w:after="80" w:before="80"/>
      </w:pPr>
      <w:r>
        <w:rPr>
          <w:rFonts w:ascii="Arial" w:cs="Arial" w:eastAsia="Arial" w:hAnsi="Arial"/>
          <w:sz w:val="20"/>
          <w:szCs w:val="20"/>
        </w:rPr>
        <w:t xml:space="preserve">The following table documents the reconciliation mapping for the MicroLogix 1400 Stamping Press. A corresponding table for the MicroLogix 1000 Trimmer will be added in a subsequent revision when the Trimmer program is written.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800"/>
        <w:gridCol w:w="5360"/>
      </w:tblGrid>
      <w:tr>
        <w:tc>
          <w:tcPr>
            <w:tcW w:type="dxa" w:w="3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Tier 1 — RSLogix 500 Tag</w:t>
            </w:r>
          </w:p>
        </w:tc>
        <w:tc>
          <w:tcPr>
            <w:tcW w:type="dxa" w:w="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
            </w:r>
          </w:p>
        </w:tc>
        <w:tc>
          <w:tcPr>
            <w:tcW w:type="dxa" w:w="5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Tier 2 — UNS Metric Name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Press_Running</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Site1_Stamping_Machine_Running</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Press_Faulted</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Site1_Stamping_Machine_Faulted</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Parts_Count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Site1_Stamping_Parts_Total</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Parts_Shift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Site1_Stamping_Parts_Shift</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Fault_Code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Site1_Stamping_Fault_Code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Batch_Size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Site1_Stamping_Press01_Batch_Size</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Batch_Count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Site1_Stamping_Press01_Batch_Count</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Batch_Rdy</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Site1_Stamping_Press01_Batch_Ready</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Cycle_Time</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Site1_Stamping_Cycle_Time_Sec</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OEE_Pct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Site1_Stamping_OEE_Pct</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Avail_Pct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Site1_Stamping_Availability_Pct</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Perf_Pct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Site1_Stamping_Performance_Pct</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Qual_Pct</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Site1_Stamping_Quality_Pct</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Dwntime_Sec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Site1_Stamping_Downtime_Sec</w:t>
            </w:r>
          </w:p>
        </w:tc>
      </w:tr>
      <w:tr>
        <w:tc>
          <w:tcPr>
            <w:tcW w:type="dxa" w:w="320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Runtime_Sec</w:t>
            </w:r>
          </w:p>
        </w:tc>
        <w:tc>
          <w:tcPr>
            <w:tcW w:type="dxa" w:w="8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jc w:val="center"/>
            </w:pPr>
            <w:r>
              <w:rPr>
                <w:rFonts w:ascii="Arial" w:cs="Arial" w:eastAsia="Arial" w:hAnsi="Arial"/>
                <w:b/>
                <w:bCs/>
                <w:color w:val="1F3864"/>
                <w:sz w:val="20"/>
                <w:szCs w:val="20"/>
              </w:rPr>
              <w:t xml:space="preserve">→</w:t>
            </w:r>
          </w:p>
        </w:tc>
        <w:tc>
          <w:tcPr>
            <w:tcW w:type="dxa" w:w="5360"/>
            <w:tcBorders>
              <w:top w:val="single" w:color="CCCCCC" w:sz="1"/>
              <w:left w:val="single" w:color="CCCCCC" w:sz="1"/>
              <w:bottom w:val="single" w:color="CCCCCC" w:sz="1"/>
              <w:right w:val="single" w:color="CCCCCC" w:sz="1"/>
            </w:tcBorders>
            <w:shd w:fill="F8F8F8" w:val="clear"/>
            <w:tcMar>
              <w:top w:type="dxa" w:w="90"/>
              <w:left w:type="dxa" w:w="130"/>
              <w:bottom w:type="dxa" w:w="90"/>
              <w:right w:type="dxa" w:w="130"/>
            </w:tcMar>
          </w:tcPr>
          <w:p>
            <w:r>
              <w:rPr>
                <w:rFonts w:ascii="Courier New" w:cs="Courier New" w:eastAsia="Courier New" w:hAnsi="Courier New"/>
                <w:sz w:val="19"/>
                <w:szCs w:val="19"/>
              </w:rPr>
              <w:t xml:space="preserve">Site1_Stamping_Runtime_Sec</w:t>
            </w:r>
          </w:p>
        </w:tc>
      </w:tr>
    </w:tbl>
    <w:p>
      <w:pPr>
        <w:pBdr>
          <w:bottom w:val="single" w:color="1F3864" w:sz="6" w:space="1"/>
        </w:pBdr>
        <w:spacing w:after="120" w:before="320"/>
      </w:pPr>
      <w:r>
        <w:rPr>
          <w:rFonts w:ascii="Arial" w:cs="Arial" w:eastAsia="Arial" w:hAnsi="Arial"/>
          <w:b/>
          <w:bCs/>
          <w:color w:val="1F3864"/>
          <w:sz w:val="24"/>
          <w:szCs w:val="24"/>
        </w:rPr>
        <w:t xml:space="preserve">8.  Revision History and Known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4360"/>
      </w:tblGrid>
      <w:tr>
        <w:tc>
          <w:tcPr>
            <w:tcW w:type="dxa" w:w="1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Rev</w:t>
            </w:r>
          </w:p>
        </w:tc>
        <w:tc>
          <w:tcPr>
            <w:tcW w:type="dxa" w:w="1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Date</w:t>
            </w:r>
          </w:p>
        </w:tc>
        <w:tc>
          <w:tcPr>
            <w:tcW w:type="dxa" w:w="22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Author</w:t>
            </w:r>
          </w:p>
        </w:tc>
        <w:tc>
          <w:tcPr>
            <w:tcW w:type="dxa" w:w="43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0.1</w:t>
            </w:r>
          </w:p>
        </w:tc>
        <w:tc>
          <w:tcPr>
            <w:tcW w:type="dxa" w:w="18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March 2026</w:t>
            </w:r>
          </w:p>
        </w:tc>
        <w:tc>
          <w:tcPr>
            <w:tcW w:type="dxa" w:w="22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w:t>
            </w:r>
          </w:p>
        </w:tc>
        <w:tc>
          <w:tcPr>
            <w:tcW w:type="dxa" w:w="43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Initial issue. Two-tier architecture defined. RSLogix 500 constraint documented. Stamping Press reconciliation table complete. Trimmer table pending program completion.</w:t>
            </w:r>
          </w:p>
        </w:tc>
      </w:tr>
    </w:tbl>
    <w:p>
      <w:pPr>
        <w:spacing w:after="0" w:before="100"/>
      </w:pPr>
    </w:p>
    <w:p>
      <w:pPr>
        <w:spacing w:after="80" w:before="160"/>
      </w:pPr>
      <w:r>
        <w:rPr>
          <w:rFonts w:ascii="Arial" w:cs="Arial" w:eastAsia="Arial" w:hAnsi="Arial"/>
          <w:b/>
          <w:bCs/>
          <w:color w:val="1F3864"/>
          <w:sz w:val="22"/>
          <w:szCs w:val="22"/>
        </w:rPr>
        <w:t xml:space="preserve">Known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800"/>
        <w:gridCol w:w="5000"/>
      </w:tblGrid>
      <w:tr>
        <w:tc>
          <w:tcPr>
            <w:tcW w:type="dxa" w:w="56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w:t>
            </w:r>
          </w:p>
        </w:tc>
        <w:tc>
          <w:tcPr>
            <w:tcW w:type="dxa" w:w="38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Item</w:t>
            </w:r>
          </w:p>
        </w:tc>
        <w:tc>
          <w:tcPr>
            <w:tcW w:type="dxa" w:w="5000"/>
            <w:gridSpan w:val="1"/>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Resolution</w:t>
            </w:r>
          </w:p>
        </w:tc>
      </w:tr>
      <w:tr>
        <w:tc>
          <w:tcPr>
            <w:tcW w:type="dxa" w:w="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01</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RSLogix 500 character limit</w:t>
            </w:r>
          </w:p>
        </w:tc>
        <w:tc>
          <w:tcPr>
            <w:tcW w:type="dxa" w:w="5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Verify exact limit during MicroLogix programming. Revise Section 3.2 if different from 16 characters.</w:t>
            </w:r>
          </w:p>
        </w:tc>
      </w:tr>
      <w:tr>
        <w:tc>
          <w:tcPr>
            <w:tcW w:type="dxa" w:w="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02</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MicroLogix 1000 Trimmer reconciliation table</w:t>
            </w:r>
          </w:p>
        </w:tc>
        <w:tc>
          <w:tcPr>
            <w:tcW w:type="dxa" w:w="5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Add Tier 1 to Tier 2 mapping table in Section 7 when Trimmer program is written.</w:t>
            </w:r>
          </w:p>
        </w:tc>
      </w:tr>
      <w:tr>
        <w:tc>
          <w:tcPr>
            <w:tcW w:type="dxa" w:w="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03</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Subscription register alignment</w:t>
            </w:r>
          </w:p>
        </w:tc>
        <w:tc>
          <w:tcPr>
            <w:tcW w:type="dxa" w:w="5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UNS Subscription Register Rev 0.1 to be updated to reflect wash cell naming revision — Process and Safety device designators replacing Wash_Safety area designation.</w:t>
            </w:r>
          </w:p>
        </w:tc>
      </w:tr>
      <w:tr>
        <w:tc>
          <w:tcPr>
            <w:tcW w:type="dxa" w:w="5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04</w:t>
            </w:r>
          </w:p>
        </w:tc>
        <w:tc>
          <w:tcPr>
            <w:tcW w:type="dxa" w:w="38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Additional platforms</w:t>
            </w:r>
          </w:p>
        </w:tc>
        <w:tc>
          <w:tcPr>
            <w:tcW w:type="dxa" w:w="500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Tier 1 constraints for any other platforms identified during programming to be documented here.</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9360"/>
            <w:gridSpan w:val="2"/>
            <w:tcBorders>
              <w:top w:val="single" w:color="CCCCCC" w:sz="1"/>
              <w:left w:val="single" w:color="CCCCCC" w:sz="1"/>
              <w:bottom w:val="single" w:color="CCCCCC" w:sz="1"/>
              <w:right w:val="single" w:color="CCCCCC" w:sz="1"/>
            </w:tcBorders>
            <w:shd w:fill="1F3864" w:val="clear"/>
            <w:tcMar>
              <w:top w:type="dxa" w:w="90"/>
              <w:left w:type="dxa" w:w="130"/>
              <w:bottom w:type="dxa" w:w="90"/>
              <w:right w:type="dxa" w:w="130"/>
            </w:tcMar>
            <w:vAlign w:val="center"/>
          </w:tcPr>
          <w:p>
            <w:r>
              <w:rPr>
                <w:rFonts w:ascii="Arial" w:cs="Arial" w:eastAsia="Arial" w:hAnsi="Arial"/>
                <w:b/>
                <w:bCs/>
                <w:color w:val="FFFFFF"/>
                <w:sz w:val="20"/>
                <w:szCs w:val="20"/>
              </w:rPr>
              <w:t xml:space="preserve">DOCUMENT INFORMATION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Document Title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ISA-95 Tag Naming Standard — Loogootee Mfg. Training Simulation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Prepared By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Jeremy Field — Senior Automation Technician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Revision</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Rev 0.1 — Initial Issue</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Date</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Status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Training Simulation — Not for Distribution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Repository</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github.com/JeremySField/loogootee-mfg-training-simulation</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Applies To</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All PLC programs, UNS topics, historian tags, and dashboard metrics across this engagement</w:t>
            </w:r>
          </w:p>
        </w:tc>
      </w:tr>
      <w:tr>
        <w:tc>
          <w:tcPr>
            <w:tcW w:type="dxa" w:w="2400"/>
            <w:tcBorders>
              <w:top w:val="single" w:color="CCCCCC" w:sz="1"/>
              <w:left w:val="single" w:color="CCCCCC" w:sz="1"/>
              <w:bottom w:val="single" w:color="CCCCCC" w:sz="1"/>
              <w:right w:val="single" w:color="CCCCCC" w:sz="1"/>
            </w:tcBorders>
            <w:shd w:fill="F2F2F2" w:val="clear"/>
            <w:tcMar>
              <w:top w:type="dxa" w:w="90"/>
              <w:left w:type="dxa" w:w="130"/>
              <w:bottom w:type="dxa" w:w="90"/>
              <w:right w:type="dxa" w:w="130"/>
            </w:tcMar>
          </w:tcPr>
          <w:p>
            <w:r>
              <w:rPr>
                <w:rFonts w:ascii="Arial" w:cs="Arial" w:eastAsia="Arial" w:hAnsi="Arial"/>
                <w:b/>
                <w:bCs/>
                <w:sz w:val="20"/>
                <w:szCs w:val="20"/>
              </w:rPr>
              <w:t xml:space="preserve">Related Docs</w:t>
            </w:r>
          </w:p>
        </w:tc>
        <w:tc>
          <w:tcPr>
            <w:tcW w:type="dxa" w:w="6960"/>
            <w:tcBorders>
              <w:top w:val="single" w:color="CCCCCC" w:sz="1"/>
              <w:left w:val="single" w:color="CCCCCC" w:sz="1"/>
              <w:bottom w:val="single" w:color="CCCCCC" w:sz="1"/>
              <w:right w:val="single" w:color="CCCCCC" w:sz="1"/>
            </w:tcBorders>
            <w:tcMar>
              <w:top w:type="dxa" w:w="90"/>
              <w:left w:type="dxa" w:w="130"/>
              <w:bottom w:type="dxa" w:w="90"/>
              <w:right w:type="dxa" w:w="130"/>
            </w:tcMar>
          </w:tcPr>
          <w:p>
            <w:r>
              <w:rPr>
                <w:rFonts w:ascii="Arial" w:cs="Arial" w:eastAsia="Arial" w:hAnsi="Arial"/>
                <w:sz w:val="20"/>
                <w:szCs w:val="20"/>
              </w:rPr>
              <w:t xml:space="preserve">UNS Subscription Register Rev 0.1  /  Micro850 Program Specification  /  Project Scope of Work</w:t>
            </w:r>
          </w:p>
        </w:tc>
      </w:tr>
    </w:tbl>
    <w:p>
      <w:pPr>
        <w:spacing w:before="300"/>
        <w:jc w:val="center"/>
      </w:pPr>
      <w:r>
        <w:rPr>
          <w:rFonts w:ascii="Arial" w:cs="Arial" w:eastAsia="Arial" w:hAnsi="Arial"/>
          <w:i/>
          <w:iCs/>
          <w:color w:val="666666"/>
          <w:sz w:val="18"/>
          <w:szCs w:val="18"/>
        </w:rPr>
        <w:t xml:space="preserve">Loogootee Mfg., Inc.  ·  Training Simulation — Not for Distribution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2026-04-15T12:26:33.461Z</dcterms:created>
  <dcterms:modified xsi:type="dcterms:W3CDTF">2026-04-15T12:26:33.463Z</dcterms:modified>
</cp:coreProperties>
</file>

<file path=docProps/custom.xml><?xml version="1.0" encoding="utf-8"?>
<Properties xmlns="http://schemas.openxmlformats.org/officeDocument/2006/custom-properties" xmlns:vt="http://schemas.openxmlformats.org/officeDocument/2006/docPropsVTypes"/>
</file>