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36"/>
                <w:szCs w:val="36"/>
              </w:rPr>
              <w:t xml:space="preserve">IIoT Architecture Decision Record</w:t>
            </w:r>
          </w:p>
          <w:p>
            <w:pPr>
              <w:jc w:val="center"/>
            </w:pPr>
            <w:r>
              <w:rPr>
                <w:rFonts w:ascii="Arial" w:cs="Arial" w:eastAsia="Arial" w:hAnsi="Arial"/>
                <w:color w:val="D5E8F0"/>
                <w:sz w:val="20"/>
                <w:szCs w:val="20"/>
              </w:rPr>
              <w:t xml:space="preserve">Loogootee Manufacturing, Inc.  ·  Loogootee, Illinois</w:t>
            </w:r>
          </w:p>
          <w:p>
            <w:pPr>
              <w:spacing w:before="12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Rev 0.1  ·  April 2026  ·  Training Simulation — Not for Distribution</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Purpose and Scope</w:t>
      </w:r>
    </w:p>
    <w:p>
      <w:pPr>
        <w:spacing w:after="80" w:before="80"/>
      </w:pPr>
      <w:r>
        <w:rPr>
          <w:rFonts w:ascii="Arial" w:cs="Arial" w:eastAsia="Arial" w:hAnsi="Arial"/>
          <w:sz w:val="20"/>
          <w:szCs w:val="20"/>
        </w:rPr>
        <w:t xml:space="preserve">This document records the architectural decisions made for the Loogootee Manufacturing IIoT stack — the data infrastructure layer of the 42U multi-platform training rack simulation. It captures what was decided, why it was decided, what alternatives were considered, and why those alternatives were rejected.</w:t>
      </w:r>
    </w:p>
    <w:p>
      <w:pPr>
        <w:spacing w:after="80" w:before="80"/>
      </w:pPr>
      <w:r>
        <w:rPr>
          <w:rFonts w:ascii="Arial" w:cs="Arial" w:eastAsia="Arial" w:hAnsi="Arial"/>
          <w:sz w:val="20"/>
          <w:szCs w:val="20"/>
        </w:rPr>
        <w:t xml:space="preserve">These decisions were reached through structured analysis of the functional requirements, the limitations of individual technologies, and alignment with established IIoT methodology as practiced by Walker Reynolds and the broader UNS community. The reasoning is documented here so that the architecture can be defended, explained to clients, and revised with full context if requirements change.</w:t>
      </w:r>
    </w:p>
    <w:p>
      <w:pPr>
        <w:spacing w:after="80" w:before="80"/>
      </w:pPr>
      <w:r>
        <w:rPr>
          <w:rFonts w:ascii="Arial" w:cs="Arial" w:eastAsia="Arial" w:hAnsi="Arial"/>
          <w:sz w:val="20"/>
          <w:szCs w:val="20"/>
        </w:rPr>
        <w:t xml:space="preserve">This document applies to the IIoT data stack only. PLC program specifications, tag naming standards, and network architecture are covered in separate documents.</w:t>
      </w:r>
    </w:p>
    <w:p>
      <w:pPr>
        <w:pBdr>
          <w:bottom w:val="single" w:color="1F3864" w:sz="6" w:space="1"/>
        </w:pBdr>
        <w:spacing w:after="120" w:before="320"/>
      </w:pPr>
      <w:r>
        <w:rPr>
          <w:rFonts w:ascii="Arial" w:cs="Arial" w:eastAsia="Arial" w:hAnsi="Arial"/>
          <w:b/>
          <w:bCs/>
          <w:color w:val="1F3864"/>
          <w:sz w:val="24"/>
          <w:szCs w:val="24"/>
        </w:rPr>
        <w:t xml:space="preserve">2.  Architecture Overview</w:t>
      </w:r>
    </w:p>
    <w:p>
      <w:pPr>
        <w:spacing w:after="80" w:before="80"/>
      </w:pPr>
      <w:r>
        <w:rPr>
          <w:rFonts w:ascii="Arial" w:cs="Arial" w:eastAsia="Arial" w:hAnsi="Arial"/>
          <w:sz w:val="20"/>
          <w:szCs w:val="20"/>
        </w:rPr>
        <w:t xml:space="preserve">The IIoT stack is organized into five layers. Data flows top to bottom. Each layer has a defined and non-overlapping responsibility.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53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1 — OT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PLC Controllers</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Run machine logic. Publish process data via native protocols to EPIC Node-RED or directly to broker.</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2 — Transport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EPIC · Wago · Broker · Node-RED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Translate native protocols to Sparkplug B. Move real-time data. Hold current state. No processing. No storage.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3 — Intelligence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Ignition SCADA</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Subscribe all broker topics. Mirror ISA-95 hierarchy as tag database. Calculate all derived metrics. Publish results back to broker. Serve HMI displays.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4 — Historian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Telegraf + InfluxDB OSS</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Capture everything that touches the broker into a time series database. Preserve Sparkplug B timestamps. Single source of historical truth.</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5 — Visualization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Grafana OSS</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Query InfluxDB only. Render dashboards. No independent calculations. No publish role.</w:t>
            </w:r>
          </w:p>
        </w:tc>
      </w:tr>
    </w:tbl>
    <w:p>
      <w:pPr>
        <w:pBdr>
          <w:bottom w:val="single" w:color="1F3864" w:sz="6" w:space="1"/>
        </w:pBdr>
        <w:spacing w:after="120" w:before="320"/>
      </w:pPr>
      <w:r>
        <w:rPr>
          <w:rFonts w:ascii="Arial" w:cs="Arial" w:eastAsia="Arial" w:hAnsi="Arial"/>
          <w:b/>
          <w:bCs/>
          <w:color w:val="1F3864"/>
          <w:sz w:val="24"/>
          <w:szCs w:val="24"/>
        </w:rPr>
        <w:t xml:space="preserve">3.  Architecture Decision Records</w:t>
      </w:r>
    </w:p>
    <w:p>
      <w:pPr>
        <w:spacing w:after="80" w:before="80"/>
      </w:pPr>
      <w:r>
        <w:rPr>
          <w:rFonts w:ascii="Arial" w:cs="Arial" w:eastAsia="Arial" w:hAnsi="Arial"/>
          <w:sz w:val="20"/>
          <w:szCs w:val="20"/>
        </w:rPr>
        <w:t xml:space="preserve">Each decision record follows the same structure: the decision stated plainly, the rationale, and alternatives that were considered and rejected.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01:  Mosquitto broker is the real-time transport layer — not the UNS</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Mosquitto is purpose-built for lightweight message transport. It holds one retained value per topic — the most recently published message — and routes messages between publishers and subscribers. It has no data processing capability, no historical storage, and no awareness of the semantic meaning of the data it carries. These are strengths for its role as a transport layer, not limitations.</w:t>
      </w:r>
    </w:p>
    <w:p>
      <w:pPr>
        <w:spacing w:after="80" w:before="80"/>
      </w:pPr>
      <w:r>
        <w:rPr>
          <w:rFonts w:ascii="Arial" w:cs="Arial" w:eastAsia="Arial" w:hAnsi="Arial"/>
          <w:sz w:val="20"/>
          <w:szCs w:val="20"/>
        </w:rPr>
        <w:t xml:space="preserve">The Unified Namespace is an architectural concept — a single hierarchical namespace where all operational data is available to all authorized consumers. Mosquitto serves as the real-time transport spine of that namespace. Ignition provides the intelligence layer above it. Treating Mosquitto as the UNS in isolation creates the false impression that the broker is the source of truth, when it is more accurately the distribution point for current state data.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CCCC" w:val="clear"/>
            <w:tcMar>
              <w:top w:type="dxa" w:w="110"/>
              <w:left w:type="dxa" w:w="150"/>
              <w:bottom w:type="dxa" w:w="110"/>
              <w:right w:type="dxa" w:w="150"/>
            </w:tcMar>
          </w:tcPr>
          <w:p>
            <w:r>
              <w:rPr>
                <w:rFonts w:ascii="Arial" w:cs="Arial" w:eastAsia="Arial" w:hAnsi="Arial"/>
                <w:b/>
                <w:bCs/>
                <w:color w:val="990000"/>
                <w:sz w:val="20"/>
                <w:szCs w:val="20"/>
              </w:rPr>
              <w:t xml:space="preserve">Rejected:  Broker as sole UNS implementation</w:t>
            </w:r>
          </w:p>
          <w:p>
            <w:r>
              <w:rPr>
                <w:rFonts w:ascii="Arial" w:cs="Arial" w:eastAsia="Arial" w:hAnsi="Arial"/>
                <w:sz w:val="20"/>
                <w:szCs w:val="20"/>
              </w:rPr>
              <w:t xml:space="preserve">A broker-only UNS cannot serve processed, derived, or historically contextualized data to consumers. Each consumer would calculate OEE and derived metrics independently, producing different results from the same source data. This replicates the data disagreement problem that IIoT modernization exists to solve — digitally rather than on paper, but structurally identical.</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02:  Ignition SCADA is the UNS intelligence layer and single calculation engine</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Ignition subscribes to all broker topics via MQTT Engine and mirrors the ISA-95 topic hierarchy as its internal tag database. This makes Ignition the authoritative real-time view of all operational data across both sites.</w:t>
      </w:r>
    </w:p>
    <w:p>
      <w:pPr>
        <w:spacing w:after="80" w:before="80"/>
      </w:pPr>
      <w:r>
        <w:rPr>
          <w:rFonts w:ascii="Arial" w:cs="Arial" w:eastAsia="Arial" w:hAnsi="Arial"/>
          <w:sz w:val="20"/>
          <w:szCs w:val="20"/>
        </w:rPr>
        <w:t xml:space="preserve">More critically, Ignition is the only system in the stack that calculates derived metrics — OEE, availability, performance, quality, shift totals, and any other values that require computation from raw PLC data. These calculations happen once. The results are published back to the broker. Every other consumer reads the same derived value from the same source. No consumer performs its own independent calculation. This eliminates the possibility of data disagreement between systems.</w:t>
      </w:r>
    </w:p>
    <w:p>
      <w:pPr>
        <w:spacing w:after="80" w:before="80"/>
      </w:pPr>
      <w:r>
        <w:rPr>
          <w:rFonts w:ascii="Arial" w:cs="Arial" w:eastAsia="Arial" w:hAnsi="Arial"/>
          <w:sz w:val="20"/>
          <w:szCs w:val="20"/>
        </w:rPr>
        <w:t xml:space="preserve">Ignition also serves as the HMI presentation layer via Perspective for the Samsung Galaxy Tab, and publishes operator interaction events and session state back to the broker so that the historian captures the complete human context alongside the machine data.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CCCC" w:val="clear"/>
            <w:tcMar>
              <w:top w:type="dxa" w:w="110"/>
              <w:left w:type="dxa" w:w="150"/>
              <w:bottom w:type="dxa" w:w="110"/>
              <w:right w:type="dxa" w:w="150"/>
            </w:tcMar>
          </w:tcPr>
          <w:p>
            <w:r>
              <w:rPr>
                <w:rFonts w:ascii="Arial" w:cs="Arial" w:eastAsia="Arial" w:hAnsi="Arial"/>
                <w:b/>
                <w:bCs/>
                <w:color w:val="990000"/>
                <w:sz w:val="20"/>
                <w:szCs w:val="20"/>
              </w:rPr>
              <w:t xml:space="preserve">Rejected:  Multiple independent calculation engines</w:t>
            </w:r>
          </w:p>
          <w:p>
            <w:r>
              <w:rPr>
                <w:rFonts w:ascii="Arial" w:cs="Arial" w:eastAsia="Arial" w:hAnsi="Arial"/>
                <w:sz w:val="20"/>
                <w:szCs w:val="20"/>
              </w:rPr>
              <w:t xml:space="preserve">If Ignition, Grafana, and Node-RED each calculate OEE independently, they will produce different results due to differing calculation windows, timestamps, and rounding. An operator on the tablet, a manager on Grafana, and a maintenance technician on groov View would see three different OEE numbers from the same production data. This is the core problem the architecture exists to prevent.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03:  Telegraf is the broker-to-historian bridge</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Telegraf is the InfluxDB collector agent. Its MQTT consumer input plugin subscribes to all broker topics and writes every message to InfluxDB with the Sparkplug B UTC timestamp preserved at the point of origin. Telegraf handles this continuously, automatically, and without requiring Node-RED to be in the data write path.</w:t>
      </w:r>
    </w:p>
    <w:p>
      <w:pPr>
        <w:spacing w:after="80" w:before="80"/>
      </w:pPr>
      <w:r>
        <w:rPr>
          <w:rFonts w:ascii="Arial" w:cs="Arial" w:eastAsia="Arial" w:hAnsi="Arial"/>
          <w:sz w:val="20"/>
          <w:szCs w:val="20"/>
        </w:rPr>
        <w:t xml:space="preserve">This means every message that touches the broker — raw PLC metrics, Ignition derived metrics, operator interaction events, shift management events, system health events — is captured in InfluxDB with microsecond timestamp accuracy. Nothing is filtered. Nothing is missed. The historian is a complete record of everything that passed through the transport layer.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CCCC" w:val="clear"/>
            <w:tcMar>
              <w:top w:type="dxa" w:w="110"/>
              <w:left w:type="dxa" w:w="150"/>
              <w:bottom w:type="dxa" w:w="110"/>
              <w:right w:type="dxa" w:w="150"/>
            </w:tcMar>
          </w:tcPr>
          <w:p>
            <w:r>
              <w:rPr>
                <w:rFonts w:ascii="Arial" w:cs="Arial" w:eastAsia="Arial" w:hAnsi="Arial"/>
                <w:b/>
                <w:bCs/>
                <w:color w:val="990000"/>
                <w:sz w:val="20"/>
                <w:szCs w:val="20"/>
              </w:rPr>
              <w:t xml:space="preserve">Rejected:  Node-RED as the InfluxDB write path</w:t>
            </w:r>
          </w:p>
          <w:p>
            <w:r>
              <w:rPr>
                <w:rFonts w:ascii="Arial" w:cs="Arial" w:eastAsia="Arial" w:hAnsi="Arial"/>
                <w:sz w:val="20"/>
                <w:szCs w:val="20"/>
              </w:rPr>
              <w:t xml:space="preserve">Using Node-RED to subscribe from the broker and write to InfluxDB puts Node-RED in a data path role rather than an orchestration role. It introduces a processing layer between the broker and historian, creates a potential single point of failure for historian writes, and adds unnecessary complexity. Telegraf is the purpose-built tool for this function.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04:  InfluxDB OSS is the single source of historical truth</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InfluxDB is a purpose-built time series database. It receives all data via Telegraf and stores it with nanosecond timestamp precision. Because Telegraf subscribes to all broker topics indiscriminately, InfluxDB accumulates the complete operational history — raw PLC data and Ignition-derived metrics alike.</w:t>
      </w:r>
    </w:p>
    <w:p>
      <w:pPr>
        <w:spacing w:after="80" w:before="80"/>
      </w:pPr>
      <w:r>
        <w:rPr>
          <w:rFonts w:ascii="Arial" w:cs="Arial" w:eastAsia="Arial" w:hAnsi="Arial"/>
          <w:sz w:val="20"/>
          <w:szCs w:val="20"/>
        </w:rPr>
        <w:t xml:space="preserve">Since Ignition is the only calculation engine and publishes derived metrics back to the broker, those derived values also pass through Telegraf into InfluxDB. The historian therefore contains not just raw data but the authoritative calculated values. When Grafana queries InfluxDB, it is reading the same derived metrics that Ignition calculated — not recalculating them independently.</w:t>
      </w:r>
    </w:p>
    <w:p>
      <w:pPr>
        <w:spacing w:after="80" w:before="80"/>
      </w:pPr>
      <w:r>
        <w:rPr>
          <w:rFonts w:ascii="Arial" w:cs="Arial" w:eastAsia="Arial" w:hAnsi="Arial"/>
          <w:sz w:val="20"/>
          <w:szCs w:val="20"/>
        </w:rPr>
        <w:t xml:space="preserve">InfluxDB Tasks provide scheduled aggregation capability within the database itself — rolling averages, shift totals derived from raw data, and downsampled long-term storage — without requiring external tooling.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CCCC" w:val="clear"/>
            <w:tcMar>
              <w:top w:type="dxa" w:w="110"/>
              <w:left w:type="dxa" w:w="150"/>
              <w:bottom w:type="dxa" w:w="110"/>
              <w:right w:type="dxa" w:w="150"/>
            </w:tcMar>
          </w:tcPr>
          <w:p>
            <w:r>
              <w:rPr>
                <w:rFonts w:ascii="Arial" w:cs="Arial" w:eastAsia="Arial" w:hAnsi="Arial"/>
                <w:b/>
                <w:bCs/>
                <w:color w:val="990000"/>
                <w:sz w:val="20"/>
                <w:szCs w:val="20"/>
              </w:rPr>
              <w:t xml:space="preserve">Rejected:  Ignition historian as primary historian</w:t>
            </w:r>
          </w:p>
          <w:p>
            <w:r>
              <w:rPr>
                <w:rFonts w:ascii="Arial" w:cs="Arial" w:eastAsia="Arial" w:hAnsi="Arial"/>
                <w:sz w:val="20"/>
                <w:szCs w:val="20"/>
              </w:rPr>
              <w:t xml:space="preserve">Ignition historian requires a relational database backend — MySQL or PostgreSQL — adding significant infrastructure complexity. InfluxDB is purpose-built for time series data and integrates natively with Grafana. The two-historian approach was evaluated and rejected in favor of InfluxDB as the single historian backed by Telegraf.</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CCCC" w:val="clear"/>
            <w:tcMar>
              <w:top w:type="dxa" w:w="110"/>
              <w:left w:type="dxa" w:w="150"/>
              <w:bottom w:type="dxa" w:w="110"/>
              <w:right w:type="dxa" w:w="150"/>
            </w:tcMar>
          </w:tcPr>
          <w:p>
            <w:r>
              <w:rPr>
                <w:rFonts w:ascii="Arial" w:cs="Arial" w:eastAsia="Arial" w:hAnsi="Arial"/>
                <w:b/>
                <w:bCs/>
                <w:color w:val="990000"/>
                <w:sz w:val="20"/>
                <w:szCs w:val="20"/>
              </w:rPr>
              <w:t xml:space="preserve">Rejected:  MQTT broker as historical record</w:t>
            </w:r>
          </w:p>
          <w:p>
            <w:r>
              <w:rPr>
                <w:rFonts w:ascii="Arial" w:cs="Arial" w:eastAsia="Arial" w:hAnsi="Arial"/>
                <w:sz w:val="20"/>
                <w:szCs w:val="20"/>
              </w:rPr>
              <w:t xml:space="preserve">MQTT brokers hold only the most recently retained value per topic. There is no mechanism for a broker to serve as a historical record. Attempting to use topic hierarchies as a filing system for timestamped historical entries is incompatible with how MQTT retention works and does not scale.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05:  Grafana is a read-only visualization layer — no publish role</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Grafana stores nothing and calculates nothing independently. It connects to InfluxDB, runs queries, and renders the results as dashboards. Its sole role in this stack is to make the data in InfluxDB visible to human users in a meaningful way.</w:t>
      </w:r>
    </w:p>
    <w:p>
      <w:pPr>
        <w:spacing w:after="80" w:before="80"/>
      </w:pPr>
      <w:r>
        <w:rPr>
          <w:rFonts w:ascii="Arial" w:cs="Arial" w:eastAsia="Arial" w:hAnsi="Arial"/>
          <w:sz w:val="20"/>
          <w:szCs w:val="20"/>
        </w:rPr>
        <w:t xml:space="preserve">Grafana was evaluated as a potential publisher of modeled or aggregated data back to the broker. This was rejected because any data Grafana would publish would either be a recalculation of what Ignition already calculated — introducing a second independent calculation — or a visualization artifact with no operational meaning outside the dashboard context. Neither adds value to the UNS.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CCCC" w:val="clear"/>
            <w:tcMar>
              <w:top w:type="dxa" w:w="110"/>
              <w:left w:type="dxa" w:w="150"/>
              <w:bottom w:type="dxa" w:w="110"/>
              <w:right w:type="dxa" w:w="150"/>
            </w:tcMar>
          </w:tcPr>
          <w:p>
            <w:r>
              <w:rPr>
                <w:rFonts w:ascii="Arial" w:cs="Arial" w:eastAsia="Arial" w:hAnsi="Arial"/>
                <w:b/>
                <w:bCs/>
                <w:color w:val="990000"/>
                <w:sz w:val="20"/>
                <w:szCs w:val="20"/>
              </w:rPr>
              <w:t xml:space="preserve">Rejected:  Grafana publishing modeled data to broker</w:t>
            </w:r>
          </w:p>
          <w:p>
            <w:r>
              <w:rPr>
                <w:rFonts w:ascii="Arial" w:cs="Arial" w:eastAsia="Arial" w:hAnsi="Arial"/>
                <w:sz w:val="20"/>
                <w:szCs w:val="20"/>
              </w:rPr>
              <w:t xml:space="preserve">Grafana publishing its own calculated aggregations to the broker would create a second calculation engine operating independently of Ignition. This violates the single calculation engine principle and introduces the data disagreement risk the architecture is designed to eliminate.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06:  Ignition + InfluxDB coexist with defined, non-overlapping roles</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Ignition and InfluxDB serve different purposes and neither can fully replace the other in this stack.</w:t>
      </w:r>
    </w:p>
    <w:p>
      <w:pPr>
        <w:spacing w:after="80" w:before="80"/>
      </w:pPr>
      <w:r>
        <w:rPr>
          <w:rFonts w:ascii="Arial" w:cs="Arial" w:eastAsia="Arial" w:hAnsi="Arial"/>
          <w:sz w:val="20"/>
          <w:szCs w:val="20"/>
        </w:rPr>
        <w:t xml:space="preserve">Ignition provides real-time intelligence — subscribing from the broker, calculating derived metrics, serving live HMI displays, managing the ISA-95 tag namespace. Ignition understands the semantic meaning of the data it processes.</w:t>
      </w:r>
    </w:p>
    <w:p>
      <w:pPr>
        <w:spacing w:after="80" w:before="80"/>
      </w:pPr>
      <w:r>
        <w:rPr>
          <w:rFonts w:ascii="Arial" w:cs="Arial" w:eastAsia="Arial" w:hAnsi="Arial"/>
          <w:sz w:val="20"/>
          <w:szCs w:val="20"/>
        </w:rPr>
        <w:t xml:space="preserve">InfluxDB provides historical depth — storing everything that passes through the broker with accurate timestamps, enabling trend queries across any time window, and serving as the single authoritative record for audit and reporting purposes.</w:t>
      </w:r>
    </w:p>
    <w:p>
      <w:pPr>
        <w:spacing w:after="80" w:before="80"/>
      </w:pPr>
      <w:r>
        <w:rPr>
          <w:rFonts w:ascii="Arial" w:cs="Arial" w:eastAsia="Arial" w:hAnsi="Arial"/>
          <w:sz w:val="20"/>
          <w:szCs w:val="20"/>
        </w:rPr>
        <w:t xml:space="preserve">The roles are complementary: Ignition publishes derived metrics to the broker where Telegraf captures them into InfluxDB. The historian therefore contains the authoritative Ignition-calculated values, not an independent recalculation.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CCCC" w:val="clear"/>
            <w:tcMar>
              <w:top w:type="dxa" w:w="110"/>
              <w:left w:type="dxa" w:w="150"/>
              <w:bottom w:type="dxa" w:w="110"/>
              <w:right w:type="dxa" w:w="150"/>
            </w:tcMar>
          </w:tcPr>
          <w:p>
            <w:r>
              <w:rPr>
                <w:rFonts w:ascii="Arial" w:cs="Arial" w:eastAsia="Arial" w:hAnsi="Arial"/>
                <w:b/>
                <w:bCs/>
                <w:color w:val="990000"/>
                <w:sz w:val="20"/>
                <w:szCs w:val="20"/>
              </w:rPr>
              <w:t xml:space="preserve">Rejected:  Single tool for both roles</w:t>
            </w:r>
          </w:p>
          <w:p>
            <w:r>
              <w:rPr>
                <w:rFonts w:ascii="Arial" w:cs="Arial" w:eastAsia="Arial" w:hAnsi="Arial"/>
                <w:sz w:val="20"/>
                <w:szCs w:val="20"/>
              </w:rPr>
              <w:t xml:space="preserve">No single tool in this stack performs both the real-time intelligence function and the time series historian function with the required capability at accessible cost. Ignition without InfluxDB loses the time series depth and Grafana integration. InfluxDB without Ignition loses the single calculation engine and real-time HMI capability.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07:  groov View HMI is positioned in the transport layer beside the EPIC</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groov View runs natively on the groov EPIC-PR1. It is an Opto22 product designed specifically for this hardware. It displays real-time data by subscribing to the broker via the EPIC and publishes operator commands back to the broker.</w:t>
      </w:r>
    </w:p>
    <w:p>
      <w:pPr>
        <w:spacing w:after="80" w:before="80"/>
      </w:pPr>
      <w:r>
        <w:rPr>
          <w:rFonts w:ascii="Arial" w:cs="Arial" w:eastAsia="Arial" w:hAnsi="Arial"/>
          <w:sz w:val="20"/>
          <w:szCs w:val="20"/>
        </w:rPr>
        <w:t xml:space="preserve">groov View is positioned in the transport layer rather than the visualization layer because it operates at the transport level — it subscribes from the broker directly via the EPIC rather than querying the historian. Its primary role is real-time operator interface for the line supervisor function, not historical reporting or trend analysis.</w:t>
      </w:r>
    </w:p>
    <w:p>
      <w:pPr>
        <w:spacing w:after="80" w:before="80"/>
      </w:pPr>
      <w:r>
        <w:rPr>
          <w:rFonts w:ascii="Arial" w:cs="Arial" w:eastAsia="Arial" w:hAnsi="Arial"/>
          <w:sz w:val="20"/>
          <w:szCs w:val="20"/>
        </w:rPr>
        <w:t xml:space="preserve">This positioning also means groov View remains operational if the AOOSTAR NAS or its Proxmox software stack has an issue. The EPIC and broker are independent of the NAS. The line supervisor HMI should not depend on the data infrastructure layer to function.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08:  Samsung Galaxy Tab connects via Ignition Perspective — not directly to broker</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The Samsung Galaxy Tab is a thin client. It has no local data processing role and no direct broker connection. Ignition Perspective serves the dashboard session to the tablet browser over WiFi.</w:t>
      </w:r>
    </w:p>
    <w:p>
      <w:pPr>
        <w:spacing w:after="80" w:before="80"/>
      </w:pPr>
      <w:r>
        <w:rPr>
          <w:rFonts w:ascii="Arial" w:cs="Arial" w:eastAsia="Arial" w:hAnsi="Arial"/>
          <w:sz w:val="20"/>
          <w:szCs w:val="20"/>
        </w:rPr>
        <w:t xml:space="preserve">All operator interactions on the tablet — navigation, command inputs, acknowledgements — are handled by Ignition. Ignition publishes the session state and operator interaction events back to the broker. Telegraf captures these events into InfluxDB. This means the complete human context — what the operator was seeing on the tablet and what they did — is preserved in the historian alongside the machine data.</w:t>
      </w:r>
    </w:p>
    <w:p>
      <w:pPr>
        <w:spacing w:after="80" w:before="80"/>
      </w:pPr>
      <w:r>
        <w:rPr>
          <w:rFonts w:ascii="Arial" w:cs="Arial" w:eastAsia="Arial" w:hAnsi="Arial"/>
          <w:sz w:val="20"/>
          <w:szCs w:val="20"/>
        </w:rPr>
        <w:t xml:space="preserve">This design enables post-incident investigation and continuous improvement analysis to correlate machine behavior with operator decision-making at the same timestamp resolution as the raw PLC data.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2"/>
                <w:szCs w:val="22"/>
              </w:rPr>
              <w:t xml:space="preserve">Decision 09:  PanelView 800 is not a UNS participant</w:t>
            </w:r>
          </w:p>
        </w:tc>
      </w:tr>
    </w:tbl>
    <w:p>
      <w:pPr>
        <w:spacing w:after="80" w:before="200"/>
      </w:pPr>
      <w:r>
        <w:rPr>
          <w:rFonts w:ascii="Arial" w:cs="Arial" w:eastAsia="Arial" w:hAnsi="Arial"/>
          <w:b/>
          <w:bCs/>
          <w:color w:val="1F3864"/>
          <w:sz w:val="22"/>
          <w:szCs w:val="22"/>
        </w:rPr>
        <w:t xml:space="preserve">Rationale</w:t>
      </w:r>
    </w:p>
    <w:p>
      <w:pPr>
        <w:spacing w:after="80" w:before="80"/>
      </w:pPr>
      <w:r>
        <w:rPr>
          <w:rFonts w:ascii="Arial" w:cs="Arial" w:eastAsia="Arial" w:hAnsi="Arial"/>
          <w:sz w:val="20"/>
          <w:szCs w:val="20"/>
        </w:rPr>
        <w:t xml:space="preserve">The PanelView 800 communicates directly with PLCs via EtherNet/IP. It does not connect to the broker, does not publish to the UNS, and does not subscribe from the UNS. It is a machine-level HMI that operates independently of the IIoT data stack.</w:t>
      </w:r>
    </w:p>
    <w:p>
      <w:pPr>
        <w:spacing w:after="80" w:before="80"/>
      </w:pPr>
      <w:r>
        <w:rPr>
          <w:rFonts w:ascii="Arial" w:cs="Arial" w:eastAsia="Arial" w:hAnsi="Arial"/>
          <w:sz w:val="20"/>
          <w:szCs w:val="20"/>
        </w:rPr>
        <w:t xml:space="preserve">This is a deliberate simulation design choice. The PanelView represents the class of legacy HMI devices present in most existing manufacturing facilities — capable, functional for their original purpose, but outside the modern data infrastructure. Including it in the simulation demonstrates that existing machine-level HMI can coexist with an IIoT overlay without modification.</w:t>
      </w:r>
    </w:p>
    <w:p>
      <w:pPr>
        <w:pBdr>
          <w:bottom w:val="single" w:color="1F3864" w:sz="6" w:space="1"/>
        </w:pBdr>
        <w:spacing w:after="120" w:before="320"/>
      </w:pPr>
      <w:r>
        <w:rPr>
          <w:rFonts w:ascii="Arial" w:cs="Arial" w:eastAsia="Arial" w:hAnsi="Arial"/>
          <w:b/>
          <w:bCs/>
          <w:color w:val="1F3864"/>
          <w:sz w:val="24"/>
          <w:szCs w:val="24"/>
        </w:rPr>
        <w:t xml:space="preserve">4.  Rejected Alternatives Summary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Alternative</w:t>
            </w:r>
          </w:p>
        </w:tc>
        <w:tc>
          <w:tcPr>
            <w:tcW w:type="dxa" w:w="61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Reason Rejected</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Broker as sole UNS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derived metrics capability. Each consumer calculates independently. Data disagreement between systems.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Multiple calculation engines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Different OEE results from same data depending on which system is queried. Core problem the architecture exists to prevent.</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Node-RED as InfluxDB write path</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Node-RED belongs in orchestration role only. Telegraf is purpose-built for this function and removes a potential failure point.</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Grafana publishing to broker</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Creates second independent calculation engine. Violates single calculation engine principle.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Ignition historian as primary</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Requires relational database backend. Adds infrastructure complexity. InfluxDB is better suited for time series at this scale.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MQTT broker as historical record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Brokers hold current state only. No mechanism for timestamped historical storage at topic level.</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Consumer-to-consumer data paths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Any direct connection between consumers bypasses the broker and creates data paths outside the historian record. All data must flow through the broker.</w:t>
            </w:r>
          </w:p>
        </w:tc>
      </w:tr>
    </w:tbl>
    <w:p>
      <w:pPr>
        <w:pBdr>
          <w:bottom w:val="single" w:color="1F3864" w:sz="6" w:space="1"/>
        </w:pBdr>
        <w:spacing w:after="120" w:before="320"/>
      </w:pPr>
      <w:r>
        <w:rPr>
          <w:rFonts w:ascii="Arial" w:cs="Arial" w:eastAsia="Arial" w:hAnsi="Arial"/>
          <w:b/>
          <w:bCs/>
          <w:color w:val="1F3864"/>
          <w:sz w:val="24"/>
          <w:szCs w:val="24"/>
        </w:rPr>
        <w:t xml:space="preserve">5.  Open Items</w:t>
      </w:r>
    </w:p>
    <w:p>
      <w:pPr>
        <w:spacing w:after="80" w:before="80"/>
      </w:pPr>
      <w:r>
        <w:rPr>
          <w:rFonts w:ascii="Arial" w:cs="Arial" w:eastAsia="Arial" w:hAnsi="Arial"/>
          <w:sz w:val="20"/>
          <w:szCs w:val="20"/>
        </w:rPr>
        <w:t xml:space="preserve">The following items require validation during implementation. Decisions may be revised based on findings.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Open Item</w:t>
            </w:r>
          </w:p>
        </w:tc>
        <w:tc>
          <w:tcPr>
            <w:tcW w:type="dxa" w:w="47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Resolution Path</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OI-01</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Sparkplug B payload validation — confirm full ISA-95 metric names survive the round trip through EPIC Node-RED to broker to MQTT Explorer without truncation or encoding issues.</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Test planned: EPIC Node-RED → laptop Mosquitto → MQTT Explorer. Scheduled for April 2026.</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OI-02</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Ignition MQTT Engine configuration — confirm MQTT Engine module correctly mirrors full ISA-95 topic hierarchy as Ignition tag database with correct data types and engineering units.</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Validate during Ignition installation on AOOSTAR NAS / Proxmox. Phase 2 activity.</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OI-03</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Telegraf Sparkplug B plugin — confirm Telegraf MQTT consumer plugin correctly decodes Sparkplug B protobuf payloads and writes metric names and timestamps accurately to InfluxDB.</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Validate during Phase 2 historian setup. Check timestamp fidelity specifically.</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OI-04</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InfluxDB Task aggregation — confirm InfluxDB Tasks can produce correct shift totals and rolling averages from raw Sparkplug B data written by Telegraf without requiring external calculation.</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Validate during Phase 2. May require adjustment to Telegraf measurement naming.</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OI-05</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groov View broker subscription — confirm groov View on EPIC can subscribe directly from Mosquitto broker and display real-time data without dependency on NAS stack.</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Validate during EPIC commissioning on rack network. Phase 1 activity.</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OI-06</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Ignition Perspective tablet session — confirm Samsung Galaxy Tab browser can receive and render Ignition Perspective session over WiFi with acceptable latency.</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Validate during Phase 2 after Ignition is installed and configured on AOOSTAR NAS / Proxmox.</w:t>
            </w:r>
          </w:p>
        </w:tc>
      </w:tr>
    </w:tbl>
    <w:p>
      <w:pPr>
        <w:pBdr>
          <w:bottom w:val="single" w:color="1F3864" w:sz="6" w:space="1"/>
        </w:pBdr>
        <w:spacing w:after="120" w:before="320"/>
      </w:pPr>
      <w:r>
        <w:rPr>
          <w:rFonts w:ascii="Arial" w:cs="Arial" w:eastAsia="Arial" w:hAnsi="Arial"/>
          <w:b/>
          <w:bCs/>
          <w:color w:val="1F3864"/>
          <w:sz w:val="24"/>
          <w:szCs w:val="24"/>
        </w:rPr>
        <w:t xml:space="preserve">6.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IIoT Architecture Decision Record — Loogootee Mfg. Training Simulation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Revision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 0.1 — Initial Issue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Training Simulation — Not for Distribution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github.com/JeremySField/loogootee-mfg-training-simulation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ISA-95 Tag Naming Standard Rev 0.1  /  UNS Subscription Register Rev 0.1  /  Rack Phased Development Plan  /  Micro850 Program Specification  /  NAS Infrastructure Implementation Rev 0.1</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Update Cadence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Updated when architectural decisions are revised or new decisions are made during implementation. Open items resolved in place with resolution date noted.</w:t>
            </w:r>
          </w:p>
        </w:tc>
      </w:tr>
    </w:tbl>
    <w:p>
      <w:pPr>
        <w:spacing w:after="0" w:before="100"/>
      </w:pPr>
    </w:p>
    <w:p>
      <w:pPr>
        <w:spacing w:after="80" w:before="160"/>
      </w:pPr>
      <w:r>
        <w:rPr>
          <w:rFonts w:ascii="Arial" w:cs="Arial" w:eastAsia="Arial" w:hAnsi="Arial"/>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c>
          <w:tcPr>
            <w:tcW w:type="dxa" w:w="1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w:t>
            </w:r>
          </w:p>
        </w:tc>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43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April 2026</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Jeremy Field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Initial issue. Nine decision records. Full architecture established through structured analysis of functional requirements and technology constraints.</w:t>
            </w:r>
          </w:p>
        </w:tc>
      </w:tr>
    </w:tbl>
    <w:p>
      <w:pPr>
        <w:spacing w:before="300"/>
        <w:jc w:val="center"/>
      </w:pPr>
      <w:r>
        <w:rPr>
          <w:rFonts w:ascii="Arial" w:cs="Arial" w:eastAsia="Arial" w:hAnsi="Arial"/>
          <w:i/>
          <w:iCs/>
          <w:color w:val="666666"/>
          <w:sz w:val="18"/>
          <w:szCs w:val="18"/>
        </w:rPr>
        <w:t xml:space="preserve">Jeremy Field  ·  Rev 0.1  ·  April 2026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2026-04-15T12:42:27.303Z</dcterms:created>
  <dcterms:modified xsi:type="dcterms:W3CDTF">2026-04-15T12:42:27.304Z</dcterms:modified>
</cp:coreProperties>
</file>

<file path=docProps/custom.xml><?xml version="1.0" encoding="utf-8"?>
<Properties xmlns="http://schemas.openxmlformats.org/officeDocument/2006/custom-properties" xmlns:vt="http://schemas.openxmlformats.org/officeDocument/2006/docPropsVTypes"/>
</file>