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240"/>
              <w:left w:type="dxa" w:w="240"/>
              <w:bottom w:type="dxa" w:w="240"/>
              <w:right w:type="dxa" w:w="240"/>
            </w:tcMar>
          </w:tcPr>
          <w:p>
            <w:pPr>
              <w:jc w:val="center"/>
            </w:pPr>
            <w:r>
              <w:rPr>
                <w:rFonts w:ascii="Arial" w:cs="Arial" w:eastAsia="Arial" w:hAnsi="Arial"/>
                <w:b/>
                <w:bCs/>
                <w:color w:val="D5E8F0"/>
                <w:sz w:val="22"/>
                <w:szCs w:val="22"/>
              </w:rPr>
              <w:t xml:space="preserve">LOOGOOTEE MFG. — TRAINING SIMULATION</w:t>
            </w:r>
          </w:p>
          <w:p>
            <w:pPr>
              <w:spacing w:before="60"/>
              <w:jc w:val="center"/>
            </w:pPr>
            <w:r>
              <w:rPr>
                <w:rFonts w:ascii="Arial" w:cs="Arial" w:eastAsia="Arial" w:hAnsi="Arial"/>
                <w:b/>
                <w:bCs/>
                <w:color w:val="FFFFFF"/>
                <w:sz w:val="36"/>
                <w:szCs w:val="36"/>
              </w:rPr>
              <w:t xml:space="preserve">IIoT &amp; Data Layer Architecture</w:t>
            </w:r>
          </w:p>
          <w:p>
            <w:pPr>
              <w:jc w:val="center"/>
            </w:pPr>
            <w:r>
              <w:rPr>
                <w:rFonts w:ascii="Arial" w:cs="Arial" w:eastAsia="Arial" w:hAnsi="Arial"/>
                <w:color w:val="D5E8F0"/>
                <w:sz w:val="20"/>
                <w:szCs w:val="20"/>
              </w:rPr>
              <w:t xml:space="preserve">Loogootee Manufacturing, Inc.  ·  Loogootee, Illinois</w:t>
            </w:r>
          </w:p>
          <w:p>
            <w:pPr>
              <w:spacing w:before="120"/>
              <w:jc w:val="center"/>
            </w:pPr>
            <w:r>
              <w:rPr>
                <w:rFonts w:ascii="Arial" w:cs="Arial" w:eastAsia="Arial" w:hAnsi="Arial"/>
                <w:i/>
                <w:iCs/>
                <w:color w:val="D5E8F0"/>
                <w:sz w:val="20"/>
                <w:szCs w:val="20"/>
              </w:rPr>
              <w:t xml:space="preserve">Prepared by: Jeremy Field  ·  Senior Automation Technician</w:t>
            </w:r>
          </w:p>
          <w:p>
            <w:pPr>
              <w:jc w:val="center"/>
            </w:pPr>
            <w:r>
              <w:rPr>
                <w:rFonts w:ascii="Arial" w:cs="Arial" w:eastAsia="Arial" w:hAnsi="Arial"/>
                <w:i/>
                <w:iCs/>
                <w:color w:val="D5E8F0"/>
                <w:sz w:val="18"/>
                <w:szCs w:val="18"/>
              </w:rPr>
              <w:t xml:space="preserve">Rev 0.2  ·  April 2026  ·  Training Simulation — Not for Distribution</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10"/>
              <w:left w:type="dxa" w:w="150"/>
              <w:bottom w:type="dxa" w:w="110"/>
              <w:right w:type="dxa" w:w="150"/>
            </w:tcMar>
          </w:tcPr>
          <w:p>
            <w:r>
              <w:rPr>
                <w:rFonts w:ascii="Arial" w:cs="Arial" w:eastAsia="Arial" w:hAnsi="Arial"/>
                <w:b/>
                <w:bCs/>
                <w:color w:val="7F6000"/>
                <w:sz w:val="20"/>
                <w:szCs w:val="20"/>
              </w:rPr>
              <w:t xml:space="preserve">TRAINING SIMULATION NOTICE</w:t>
            </w:r>
          </w:p>
          <w:p>
            <w:r>
              <w:rPr>
                <w:rFonts w:ascii="Arial" w:cs="Arial" w:eastAsia="Arial" w:hAnsi="Arial"/>
                <w:sz w:val="20"/>
                <w:szCs w:val="20"/>
              </w:rPr>
              <w:t xml:space="preserve">This document describes the IIoT and data layer architecture for a fictional company created for an IIoT training simulation. All device names, IP addresses, and configuration details are fabricated for educational purposes.</w:t>
            </w:r>
          </w:p>
        </w:tc>
      </w:tr>
    </w:tbl>
    <w:p>
      <w:pPr>
        <w:spacing w:after="0" w:before="100"/>
      </w:pPr>
    </w:p>
    <w:p>
      <w:pPr>
        <w:pBdr>
          <w:bottom w:val="single" w:color="1F3864" w:sz="6" w:space="1"/>
        </w:pBdr>
        <w:spacing w:after="120" w:before="320"/>
      </w:pPr>
      <w:r>
        <w:rPr>
          <w:rFonts w:ascii="Arial" w:cs="Arial" w:eastAsia="Arial" w:hAnsi="Arial"/>
          <w:b/>
          <w:bCs/>
          <w:color w:val="1F3864"/>
          <w:sz w:val="24"/>
          <w:szCs w:val="24"/>
        </w:rPr>
        <w:t xml:space="preserve">1.  Purpose &amp; Scope</w:t>
      </w:r>
    </w:p>
    <w:p>
      <w:pPr>
        <w:spacing w:after="80" w:before="80"/>
      </w:pPr>
      <w:r>
        <w:rPr>
          <w:rFonts w:ascii="Arial" w:cs="Arial" w:eastAsia="Arial" w:hAnsi="Arial"/>
          <w:sz w:val="20"/>
          <w:szCs w:val="20"/>
        </w:rPr>
        <w:t xml:space="preserve">This document records the IIoT and data layer architecture for the Loogootee Manufacturing training rack simulation. It covers the MQTT broker, edge devices, the AOOSTAR NAS software stack, data flow principles, and MQTT credential structure.</w:t>
      </w:r>
    </w:p>
    <w:p>
      <w:pPr>
        <w:spacing w:after="80" w:before="80"/>
      </w:pPr>
      <w:r>
        <w:rPr>
          <w:rFonts w:ascii="Arial" w:cs="Arial" w:eastAsia="Arial" w:hAnsi="Arial"/>
          <w:sz w:val="20"/>
          <w:szCs w:val="20"/>
        </w:rPr>
        <w:t xml:space="preserve">It does not cover PLC program specifications, controller-to-machine mapping, I/O architecture, or UNS topic hierarchy. Those are addressed in separate documents. For the architectural decision rationale behind the data flow design, refer to the IIoT Architecture Decision Record Rev 0.1.</w:t>
      </w:r>
    </w:p>
    <w:p>
      <w:pPr>
        <w:spacing w:after="80" w:before="80"/>
      </w:pPr>
      <w:r>
        <w:rPr>
          <w:rFonts w:ascii="Arial" w:cs="Arial" w:eastAsia="Arial" w:hAnsi="Arial"/>
          <w:sz w:val="20"/>
          <w:szCs w:val="20"/>
        </w:rPr>
        <w:t xml:space="preserve">This is a living document. Rev 0.2 reflects the finalized data flow architecture and updated hardware from Industrial PC to AOOSTAR NAS / Proxmox. Open items remain for configuration work during Phase 1 and Phase 2 rack commissioning.</w:t>
      </w:r>
    </w:p>
    <w:p>
      <w:pPr>
        <w:pBdr>
          <w:bottom w:val="single" w:color="1F3864" w:sz="6" w:space="1"/>
        </w:pBdr>
        <w:spacing w:after="120" w:before="320"/>
      </w:pPr>
      <w:r>
        <w:rPr>
          <w:rFonts w:ascii="Arial" w:cs="Arial" w:eastAsia="Arial" w:hAnsi="Arial"/>
          <w:b/>
          <w:bCs/>
          <w:color w:val="1F3864"/>
          <w:sz w:val="24"/>
          <w:szCs w:val="24"/>
        </w:rPr>
        <w:t xml:space="preserve">2.  Hardware Inventory — IIoT Layer</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Component</w:t>
            </w:r>
          </w:p>
        </w:tc>
        <w:tc>
          <w:tcPr>
            <w:tcW w:type="dxa" w:w="656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MQTT Broker</w:t>
            </w:r>
          </w:p>
        </w:tc>
        <w:tc>
          <w:tcPr>
            <w:tcW w:type="dxa" w:w="65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Raspberry Pi 4B — 4GB RAM — Samsung T7 500GB USB-C SSD</w:t>
            </w:r>
          </w:p>
        </w:tc>
      </w:tr>
      <w:tr>
        <w:tc>
          <w:tcPr>
            <w:tcW w:type="dxa" w:w="28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Broker Enclosure</w:t>
            </w:r>
          </w:p>
        </w:tc>
        <w:tc>
          <w:tcPr>
            <w:tcW w:type="dxa" w:w="65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Phoenix Contact RPI-BC DIN Rail Housing (DIN 43880)</w:t>
            </w:r>
          </w:p>
        </w:tc>
      </w:tr>
      <w:tr>
        <w:tc>
          <w:tcPr>
            <w:tcW w:type="dxa" w:w="28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Broker Power</w:t>
            </w:r>
          </w:p>
        </w:tc>
        <w:tc>
          <w:tcPr>
            <w:tcW w:type="dxa" w:w="65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PoE Texas RPi PoE+ Hat — 802.3at — Cisco SG300-28PP-K9</w:t>
            </w:r>
          </w:p>
        </w:tc>
      </w:tr>
      <w:tr>
        <w:tc>
          <w:tcPr>
            <w:tcW w:type="dxa" w:w="28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Edge Device — Site 1</w:t>
            </w:r>
          </w:p>
        </w:tc>
        <w:tc>
          <w:tcPr>
            <w:tcW w:type="dxa" w:w="65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Opto22 groov EPIC-PR1 — embedded Linux — IEC 61131-3 — dual GbE</w:t>
            </w:r>
          </w:p>
        </w:tc>
      </w:tr>
      <w:tr>
        <w:tc>
          <w:tcPr>
            <w:tcW w:type="dxa" w:w="28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Edge Device — Site 2</w:t>
            </w:r>
          </w:p>
        </w:tc>
        <w:tc>
          <w:tcPr>
            <w:tcW w:type="dxa" w:w="65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Wago PFC200 750-8206 — embedded Linux RT — IEC 61131-3 — dual GbE — Docker</w:t>
            </w:r>
          </w:p>
        </w:tc>
      </w:tr>
      <w:tr>
        <w:tc>
          <w:tcPr>
            <w:tcW w:type="dxa" w:w="28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NAS / IIoT Server</w:t>
            </w:r>
          </w:p>
        </w:tc>
        <w:tc>
          <w:tcPr>
            <w:tcW w:type="dxa" w:w="65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AOOSTAR WTR Max — Ryzen 7 PRO 8845HS — 32GB DDR5 — 5× NVMe — 2.5GbE — Proxmox VE</w:t>
            </w:r>
          </w:p>
        </w:tc>
      </w:tr>
      <w:tr>
        <w:tc>
          <w:tcPr>
            <w:tcW w:type="dxa" w:w="28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Network Switch</w:t>
            </w:r>
          </w:p>
        </w:tc>
        <w:tc>
          <w:tcPr>
            <w:tcW w:type="dxa" w:w="65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Cisco SG300-28PP-K9 — 28-port GbE — 802.3at PoE+ — managed</w:t>
            </w:r>
          </w:p>
        </w:tc>
      </w:tr>
    </w:tbl>
    <w:p>
      <w:pPr>
        <w:pBdr>
          <w:bottom w:val="single" w:color="1F3864" w:sz="6" w:space="1"/>
        </w:pBdr>
        <w:spacing w:after="120" w:before="320"/>
      </w:pPr>
      <w:r>
        <w:rPr>
          <w:rFonts w:ascii="Arial" w:cs="Arial" w:eastAsia="Arial" w:hAnsi="Arial"/>
          <w:b/>
          <w:bCs/>
          <w:color w:val="1F3864"/>
          <w:sz w:val="24"/>
          <w:szCs w:val="24"/>
        </w:rPr>
        <w:t xml:space="preserve">3.  Software Stack</w:t>
      </w:r>
    </w:p>
    <w:p>
      <w:pPr>
        <w:spacing w:after="80" w:before="220"/>
      </w:pPr>
      <w:r>
        <w:rPr>
          <w:rFonts w:ascii="Arial" w:cs="Arial" w:eastAsia="Arial" w:hAnsi="Arial"/>
          <w:b/>
          <w:bCs/>
          <w:color w:val="1F3864"/>
          <w:sz w:val="22"/>
          <w:szCs w:val="22"/>
        </w:rPr>
        <w:t xml:space="preserve">3.1  MQTT Broker — Raspberry 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Software</w:t>
            </w:r>
          </w:p>
        </w:tc>
        <w:tc>
          <w:tcPr>
            <w:tcW w:type="dxa" w:w="6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Mosquitto 2.0.21</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Listener</w:t>
            </w:r>
          </w:p>
        </w:tc>
        <w:tc>
          <w:tcPr>
            <w:tcW w:type="dxa" w:w="6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Port 1883 — IPv4 and IPv6</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Authentication</w:t>
            </w:r>
          </w:p>
        </w:tc>
        <w:tc>
          <w:tcPr>
            <w:tcW w:type="dxa" w:w="6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Enabled — anonymous access disabled — per-client credentials</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Firewall</w:t>
            </w:r>
          </w:p>
        </w:tc>
        <w:tc>
          <w:tcPr>
            <w:tcW w:type="dxa" w:w="696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ufw — ports 22 and 1883 only</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Brute-Force Protection</w:t>
            </w:r>
          </w:p>
        </w:tc>
        <w:tc>
          <w:tcPr>
            <w:tcW w:type="dxa" w:w="696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fail2ban — SSH protection active</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Persistence</w:t>
            </w:r>
          </w:p>
        </w:tc>
        <w:tc>
          <w:tcPr>
            <w:tcW w:type="dxa" w:w="696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Enabled — /var/lib/mosquitto/ — Samsung T7 SSD</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Config File</w:t>
            </w:r>
          </w:p>
        </w:tc>
        <w:tc>
          <w:tcPr>
            <w:tcW w:type="dxa" w:w="696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/etc/mosquitto/conf.d/broker.conf</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Role</w:t>
            </w:r>
          </w:p>
        </w:tc>
        <w:tc>
          <w:tcPr>
            <w:tcW w:type="dxa" w:w="6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Real-time transport only — current state only — no processing — no storage</w:t>
            </w:r>
          </w:p>
        </w:tc>
      </w:tr>
    </w:tbl>
    <w:p>
      <w:pPr>
        <w:spacing w:after="80" w:before="220"/>
      </w:pPr>
      <w:r>
        <w:rPr>
          <w:rFonts w:ascii="Arial" w:cs="Arial" w:eastAsia="Arial" w:hAnsi="Arial"/>
          <w:b/>
          <w:bCs/>
          <w:color w:val="1F3864"/>
          <w:sz w:val="22"/>
          <w:szCs w:val="22"/>
        </w:rPr>
        <w:t xml:space="preserve">3.2  Edge Device — groov EPIC-PR1 (Site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PLC Runtime</w:t>
            </w:r>
          </w:p>
        </w:tc>
        <w:tc>
          <w:tcPr>
            <w:tcW w:type="dxa" w:w="6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CoDeSys / IEC 61131-3 — Site 1 line supervisor</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MQTT Publisher</w:t>
            </w:r>
          </w:p>
        </w:tc>
        <w:tc>
          <w:tcPr>
            <w:tcW w:type="dxa" w:w="6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Native Sparkplug B publish via groov Manage and Node-RED</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Node-RED</w:t>
            </w:r>
          </w:p>
        </w:tc>
        <w:tc>
          <w:tcPr>
            <w:tcW w:type="dxa" w:w="6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Built-in v4.1.3 — translate + transmit only — no data processing</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groov View</w:t>
            </w:r>
          </w:p>
        </w:tc>
        <w:tc>
          <w:tcPr>
            <w:tcW w:type="dxa" w:w="6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Built-in HMI — line supervisor real-time display — subscribes from broker</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Ignition Edge</w:t>
            </w:r>
          </w:p>
        </w:tc>
        <w:tc>
          <w:tcPr>
            <w:tcW w:type="dxa" w:w="6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Licensed — Ignition Edge — OPC-UA server — tag database</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Network Role</w:t>
            </w:r>
          </w:p>
        </w:tc>
        <w:tc>
          <w:tcPr>
            <w:tcW w:type="dxa" w:w="6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Dual GbE — OT network ETH0 and IT network ETH1 separation</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Hardwired Outputs</w:t>
            </w:r>
          </w:p>
        </w:tc>
        <w:tc>
          <w:tcPr>
            <w:tcW w:type="dxa" w:w="6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Permissive outputs to Site 1 controlled equipment</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Role</w:t>
            </w:r>
          </w:p>
        </w:tc>
        <w:tc>
          <w:tcPr>
            <w:tcW w:type="dxa" w:w="6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Reads all Site 1 PLCs via native protocols — publishes Sparkplug B to broker — subscribes commands and shift reset from broker</w:t>
            </w:r>
          </w:p>
        </w:tc>
      </w:tr>
    </w:tbl>
    <w:p>
      <w:pPr>
        <w:spacing w:after="80" w:before="220"/>
      </w:pPr>
      <w:r>
        <w:rPr>
          <w:rFonts w:ascii="Arial" w:cs="Arial" w:eastAsia="Arial" w:hAnsi="Arial"/>
          <w:b/>
          <w:bCs/>
          <w:color w:val="1F3864"/>
          <w:sz w:val="22"/>
          <w:szCs w:val="22"/>
        </w:rPr>
        <w:t xml:space="preserve">3.3  Edge Device — Wago PFC200 (Site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PLC Runtime</w:t>
            </w:r>
          </w:p>
        </w:tc>
        <w:tc>
          <w:tcPr>
            <w:tcW w:type="dxa" w:w="6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CoDeSys / e!COCKPIT — IEC 61131-3 — Site 2 line supervisor</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MQTT Publish Method</w:t>
            </w:r>
          </w:p>
        </w:tc>
        <w:tc>
          <w:tcPr>
            <w:tcW w:type="dxa" w:w="6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Native MQTT library — Sparkplug B direct to broker</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Node-RED</w:t>
            </w:r>
          </w:p>
        </w:tc>
        <w:tc>
          <w:tcPr>
            <w:tcW w:type="dxa" w:w="6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Onboard Node-RED — orchestration and lightweight flows</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Docker Support</w:t>
            </w:r>
          </w:p>
        </w:tc>
        <w:tc>
          <w:tcPr>
            <w:tcW w:type="dxa" w:w="6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Native — Linux RT with Docker engine — available for future expansion</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Network Interfaces</w:t>
            </w:r>
          </w:p>
        </w:tc>
        <w:tc>
          <w:tcPr>
            <w:tcW w:type="dxa" w:w="6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2× Ethernet with integrated switch — line topology capable</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Role</w:t>
            </w:r>
          </w:p>
        </w:tc>
        <w:tc>
          <w:tcPr>
            <w:tcW w:type="dxa" w:w="6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Publishes Sparkplug B natively to broker — subscribes lot and shift management from broker</w:t>
            </w:r>
          </w:p>
        </w:tc>
      </w:tr>
    </w:tbl>
    <w:p>
      <w:pPr>
        <w:spacing w:after="80" w:before="220"/>
      </w:pPr>
      <w:r>
        <w:rPr>
          <w:rFonts w:ascii="Arial" w:cs="Arial" w:eastAsia="Arial" w:hAnsi="Arial"/>
          <w:b/>
          <w:bCs/>
          <w:color w:val="1F3864"/>
          <w:sz w:val="22"/>
          <w:szCs w:val="22"/>
        </w:rPr>
        <w:t xml:space="preserve">3.4  IIoT Server — AOOSTAR NAS / Proxmox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Hardware</w:t>
            </w:r>
          </w:p>
        </w:tc>
        <w:tc>
          <w:tcPr>
            <w:tcW w:type="dxa" w:w="6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AOOSTAR WTR Max — Ryzen 7 PRO 8845HS — 32GB DDR5 — 5× NVMe — 2.5GbE</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Hypervisor</w:t>
            </w:r>
          </w:p>
        </w:tc>
        <w:tc>
          <w:tcPr>
            <w:tcW w:type="dxa" w:w="6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Proxmox VE — bare-metal — LXC containers for all IIoT stack services</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Ignition</w:t>
            </w:r>
          </w:p>
        </w:tc>
        <w:tc>
          <w:tcPr>
            <w:tcW w:type="dxa" w:w="6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Ignition Maker Edition — free non-commercial — Perspective — OPC-UA — Tag Historian — Cirrus Link MQTT modules — LXC container</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Node-RED</w:t>
            </w:r>
          </w:p>
        </w:tc>
        <w:tc>
          <w:tcPr>
            <w:tcW w:type="dxa" w:w="6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LXC container — shift management and orchestration only — no data processing role</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Telegraf</w:t>
            </w:r>
          </w:p>
        </w:tc>
        <w:tc>
          <w:tcPr>
            <w:tcW w:type="dxa" w:w="6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LXC container — InfluxDB collector agent — subscribes ALL broker topics — writes to InfluxDB — Sparkplug B timestamps preserved</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InfluxDB OSS</w:t>
            </w:r>
          </w:p>
        </w:tc>
        <w:tc>
          <w:tcPr>
            <w:tcW w:type="dxa" w:w="6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LXC container — dedicated NVMe — time series historian — single source of historical truth — all raw and derived data — InfluxDB Tasks for scheduled aggregations</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Grafana OSS</w:t>
            </w:r>
          </w:p>
        </w:tc>
        <w:tc>
          <w:tcPr>
            <w:tcW w:type="dxa" w:w="6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LXC container — visualization — queries InfluxDB only — read only — no publish role</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VM Storage</w:t>
            </w:r>
          </w:p>
        </w:tc>
        <w:tc>
          <w:tcPr>
            <w:tcW w:type="dxa" w:w="6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Proxmox VMs for Windows software isolation — e!COCKPIT, Studio 5000 / FactoryTalk</w:t>
            </w:r>
          </w:p>
        </w:tc>
      </w:tr>
    </w:tbl>
    <w:p>
      <w:pPr>
        <w:pBdr>
          <w:bottom w:val="single" w:color="1F3864" w:sz="6" w:space="1"/>
        </w:pBdr>
        <w:spacing w:after="120" w:before="320"/>
      </w:pPr>
      <w:r>
        <w:rPr>
          <w:rFonts w:ascii="Arial" w:cs="Arial" w:eastAsia="Arial" w:hAnsi="Arial"/>
          <w:b/>
          <w:bCs/>
          <w:color w:val="1F3864"/>
          <w:sz w:val="24"/>
          <w:szCs w:val="24"/>
        </w:rPr>
        <w:t xml:space="preserve">4.  Data Flow Architecture</w:t>
      </w:r>
    </w:p>
    <w:p>
      <w:pPr>
        <w:spacing w:after="80" w:before="220"/>
      </w:pPr>
      <w:r>
        <w:rPr>
          <w:rFonts w:ascii="Arial" w:cs="Arial" w:eastAsia="Arial" w:hAnsi="Arial"/>
          <w:b/>
          <w:bCs/>
          <w:color w:val="1F3864"/>
          <w:sz w:val="22"/>
          <w:szCs w:val="22"/>
        </w:rPr>
        <w:t xml:space="preserve">4.1  Design Principles</w:t>
      </w:r>
    </w:p>
    <w:p>
      <w:pPr>
        <w:spacing w:after="80" w:before="80"/>
      </w:pPr>
      <w:r>
        <w:rPr>
          <w:rFonts w:ascii="Arial" w:cs="Arial" w:eastAsia="Arial" w:hAnsi="Arial"/>
          <w:sz w:val="20"/>
          <w:szCs w:val="20"/>
        </w:rPr>
        <w:t xml:space="preserve">The data flow architecture is organized around three governing principles. Full rationale and rejected alternatives are documented in the IIoT Architecture Decision Record Rev 0.1.</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Principle</w:t>
            </w:r>
          </w:p>
        </w:tc>
        <w:tc>
          <w:tcPr>
            <w:tcW w:type="dxa" w:w="656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Statement</w:t>
            </w:r>
          </w:p>
        </w:tc>
      </w:tr>
      <w:tr>
        <w:tc>
          <w:tcPr>
            <w:tcW w:type="dxa" w:w="28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Single transport layer</w:t>
            </w:r>
          </w:p>
        </w:tc>
        <w:tc>
          <w:tcPr>
            <w:tcW w:type="dxa" w:w="65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The Mosquitto broker is the real-time transport spine. It holds current state only. No processing. No storage. All publishers and subscribers connect here.</w:t>
            </w:r>
          </w:p>
        </w:tc>
      </w:tr>
      <w:tr>
        <w:tc>
          <w:tcPr>
            <w:tcW w:type="dxa" w:w="28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Single calculation engine</w:t>
            </w:r>
          </w:p>
        </w:tc>
        <w:tc>
          <w:tcPr>
            <w:tcW w:type="dxa" w:w="65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Ignition is the only system that calculates derived metrics — OEE, availability, performance, quality, shift totals. Results are published back to the broker once. No other consumer calculates independently.</w:t>
            </w:r>
          </w:p>
        </w:tc>
      </w:tr>
      <w:tr>
        <w:tc>
          <w:tcPr>
            <w:tcW w:type="dxa" w:w="28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Single source of historical truth</w:t>
            </w:r>
          </w:p>
        </w:tc>
        <w:tc>
          <w:tcPr>
            <w:tcW w:type="dxa" w:w="65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InfluxDB receives everything that passes through the broker via Telegraf. Raw PLC data, Ignition derived metrics, operator interactions, and shift events are all stored here with Sparkplug B UTC timestamps. Grafana reads InfluxDB only.</w:t>
            </w:r>
          </w:p>
        </w:tc>
      </w:tr>
    </w:tbl>
    <w:p>
      <w:pPr>
        <w:spacing w:after="80" w:before="220"/>
      </w:pPr>
      <w:r>
        <w:rPr>
          <w:rFonts w:ascii="Arial" w:cs="Arial" w:eastAsia="Arial" w:hAnsi="Arial"/>
          <w:b/>
          <w:bCs/>
          <w:color w:val="1F3864"/>
          <w:sz w:val="22"/>
          <w:szCs w:val="22"/>
        </w:rPr>
        <w:t xml:space="preserve">4.2  Five-Layer Data Flow</w:t>
      </w:r>
    </w:p>
    <w:p>
      <w:pPr>
        <w:spacing w:after="80" w:before="80"/>
      </w:pPr>
      <w:r>
        <w:rPr>
          <w:rFonts w:ascii="Arial" w:cs="Arial" w:eastAsia="Arial" w:hAnsi="Arial"/>
          <w:sz w:val="20"/>
          <w:szCs w:val="20"/>
        </w:rPr>
        <w:t xml:space="preserve">Data flows top to bottom through five defined layers. Each layer has a single non-overlapping responsibility.</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10"/>
              <w:left w:type="dxa" w:w="150"/>
              <w:bottom w:type="dxa" w:w="110"/>
              <w:right w:type="dxa" w:w="150"/>
            </w:tcMar>
          </w:tcPr>
          <w:p>
            <w:r>
              <w:rPr>
                <w:rFonts w:ascii="Arial" w:cs="Arial" w:eastAsia="Arial" w:hAnsi="Arial"/>
                <w:b/>
                <w:bCs/>
                <w:color w:val="1F3864"/>
                <w:sz w:val="20"/>
                <w:szCs w:val="20"/>
              </w:rPr>
              <w:t xml:space="preserve">Layer 1 — OT Layer  </w:t>
            </w:r>
            <w:r>
              <w:rPr>
                <w:rFonts w:ascii="Arial" w:cs="Arial" w:eastAsia="Arial" w:hAnsi="Arial"/>
                <w:i/>
                <w:iCs/>
                <w:color w:val="1F3864"/>
                <w:sz w:val="20"/>
                <w:szCs w:val="20"/>
              </w:rPr>
              <w:t xml:space="preserve">[ PLC Controllers ]</w:t>
            </w:r>
          </w:p>
          <w:p>
            <w:pPr>
              <w:spacing w:before="60"/>
            </w:pPr>
            <w:r>
              <w:rPr>
                <w:rFonts w:ascii="Arial" w:cs="Arial" w:eastAsia="Arial" w:hAnsi="Arial"/>
                <w:sz w:val="20"/>
                <w:szCs w:val="20"/>
              </w:rPr>
              <w:t xml:space="preserve">All 11 controllers run machine logic and publish process data via native protocols — EtherNet/IP, PROFINET, PROFIBUS, OPC-UA, EtherCAT, DF1 — to the groov EPIC-PR1 Node-RED bridge. Wago PFC200 publishes natively to the broker.</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10"/>
              <w:left w:type="dxa" w:w="150"/>
              <w:bottom w:type="dxa" w:w="110"/>
              <w:right w:type="dxa" w:w="150"/>
            </w:tcMar>
          </w:tcPr>
          <w:p>
            <w:r>
              <w:rPr>
                <w:rFonts w:ascii="Arial" w:cs="Arial" w:eastAsia="Arial" w:hAnsi="Arial"/>
                <w:b/>
                <w:bCs/>
                <w:color w:val="1F3864"/>
                <w:sz w:val="20"/>
                <w:szCs w:val="20"/>
              </w:rPr>
              <w:t xml:space="preserve">Layer 2 — Transport Layer  </w:t>
            </w:r>
            <w:r>
              <w:rPr>
                <w:rFonts w:ascii="Arial" w:cs="Arial" w:eastAsia="Arial" w:hAnsi="Arial"/>
                <w:i/>
                <w:iCs/>
                <w:color w:val="1F3864"/>
                <w:sz w:val="20"/>
                <w:szCs w:val="20"/>
              </w:rPr>
              <w:t xml:space="preserve">[ EPIC · Wago · Broker · Node-RED ]</w:t>
            </w:r>
          </w:p>
          <w:p>
            <w:pPr>
              <w:spacing w:before="60"/>
            </w:pPr>
            <w:r>
              <w:rPr>
                <w:rFonts w:ascii="Arial" w:cs="Arial" w:eastAsia="Arial" w:hAnsi="Arial"/>
                <w:sz w:val="20"/>
                <w:szCs w:val="20"/>
              </w:rPr>
              <w:t xml:space="preserve">EPIC Node-RED translates native protocols to Sparkplug B and publishes to the broker. Wago publishes Sparkplug B natively. The broker routes messages and holds current state. Node-RED on the AOOSTAR NAS publishes shift management events. Translate and transmit only — no processing, no storage.</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10"/>
              <w:left w:type="dxa" w:w="150"/>
              <w:bottom w:type="dxa" w:w="110"/>
              <w:right w:type="dxa" w:w="150"/>
            </w:tcMar>
          </w:tcPr>
          <w:p>
            <w:r>
              <w:rPr>
                <w:rFonts w:ascii="Arial" w:cs="Arial" w:eastAsia="Arial" w:hAnsi="Arial"/>
                <w:b/>
                <w:bCs/>
                <w:color w:val="1F3864"/>
                <w:sz w:val="20"/>
                <w:szCs w:val="20"/>
              </w:rPr>
              <w:t xml:space="preserve">Layer 3 — Intelligence Layer  </w:t>
            </w:r>
            <w:r>
              <w:rPr>
                <w:rFonts w:ascii="Arial" w:cs="Arial" w:eastAsia="Arial" w:hAnsi="Arial"/>
                <w:i/>
                <w:iCs/>
                <w:color w:val="1F3864"/>
                <w:sz w:val="20"/>
                <w:szCs w:val="20"/>
              </w:rPr>
              <w:t xml:space="preserve">[ Ignition SCADA ]</w:t>
            </w:r>
          </w:p>
          <w:p>
            <w:pPr>
              <w:spacing w:before="60"/>
            </w:pPr>
            <w:r>
              <w:rPr>
                <w:rFonts w:ascii="Arial" w:cs="Arial" w:eastAsia="Arial" w:hAnsi="Arial"/>
                <w:sz w:val="20"/>
                <w:szCs w:val="20"/>
              </w:rPr>
              <w:t xml:space="preserve">Ignition subscribes to all broker topics via MQTT Engine. Mirrors ISA-95 hierarchy as internal tag database. Calculates all derived metrics — OEE, availability, performance, quality, shift totals. Publishes results back to broker. Serves Perspective to Samsung Tab. Publishes operator interactions and session state back to broker.</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10"/>
              <w:left w:type="dxa" w:w="150"/>
              <w:bottom w:type="dxa" w:w="110"/>
              <w:right w:type="dxa" w:w="150"/>
            </w:tcMar>
          </w:tcPr>
          <w:p>
            <w:r>
              <w:rPr>
                <w:rFonts w:ascii="Arial" w:cs="Arial" w:eastAsia="Arial" w:hAnsi="Arial"/>
                <w:b/>
                <w:bCs/>
                <w:color w:val="1F3864"/>
                <w:sz w:val="20"/>
                <w:szCs w:val="20"/>
              </w:rPr>
              <w:t xml:space="preserve">Layer 4 — Historian Layer  </w:t>
            </w:r>
            <w:r>
              <w:rPr>
                <w:rFonts w:ascii="Arial" w:cs="Arial" w:eastAsia="Arial" w:hAnsi="Arial"/>
                <w:i/>
                <w:iCs/>
                <w:color w:val="1F3864"/>
                <w:sz w:val="20"/>
                <w:szCs w:val="20"/>
              </w:rPr>
              <w:t xml:space="preserve">[ Telegraf + InfluxDB OSS ]</w:t>
            </w:r>
          </w:p>
          <w:p>
            <w:pPr>
              <w:spacing w:before="60"/>
            </w:pPr>
            <w:r>
              <w:rPr>
                <w:rFonts w:ascii="Arial" w:cs="Arial" w:eastAsia="Arial" w:hAnsi="Arial"/>
                <w:sz w:val="20"/>
                <w:szCs w:val="20"/>
              </w:rPr>
              <w:t xml:space="preserve">Telegraf subscribes to all broker topics and writes everything to InfluxDB with Sparkplug B UTC timestamps preserved. Captures raw PLC data, Ignition derived metrics, operator events, shift events, and system health. InfluxDB Tasks provide scheduled aggregations. Nothing is filtered. Complete operational record.</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10"/>
              <w:left w:type="dxa" w:w="150"/>
              <w:bottom w:type="dxa" w:w="110"/>
              <w:right w:type="dxa" w:w="150"/>
            </w:tcMar>
          </w:tcPr>
          <w:p>
            <w:r>
              <w:rPr>
                <w:rFonts w:ascii="Arial" w:cs="Arial" w:eastAsia="Arial" w:hAnsi="Arial"/>
                <w:b/>
                <w:bCs/>
                <w:color w:val="1F3864"/>
                <w:sz w:val="20"/>
                <w:szCs w:val="20"/>
              </w:rPr>
              <w:t xml:space="preserve">Layer 5 — Visualization Layer  </w:t>
            </w:r>
            <w:r>
              <w:rPr>
                <w:rFonts w:ascii="Arial" w:cs="Arial" w:eastAsia="Arial" w:hAnsi="Arial"/>
                <w:i/>
                <w:iCs/>
                <w:color w:val="1F3864"/>
                <w:sz w:val="20"/>
                <w:szCs w:val="20"/>
              </w:rPr>
              <w:t xml:space="preserve">[ Grafana OSS ]</w:t>
            </w:r>
          </w:p>
          <w:p>
            <w:pPr>
              <w:spacing w:before="60"/>
            </w:pPr>
            <w:r>
              <w:rPr>
                <w:rFonts w:ascii="Arial" w:cs="Arial" w:eastAsia="Arial" w:hAnsi="Arial"/>
                <w:sz w:val="20"/>
                <w:szCs w:val="20"/>
              </w:rPr>
              <w:t xml:space="preserve">Grafana queries InfluxDB only. Renders OEE dashboards, trend analysis, shift reports, and audit records. Read only. No independent calculations. No publish role. One query source — one version of every metric.</w:t>
            </w:r>
          </w:p>
        </w:tc>
      </w:tr>
    </w:tbl>
    <w:p>
      <w:pPr>
        <w:spacing w:after="80" w:before="220"/>
      </w:pPr>
      <w:r>
        <w:rPr>
          <w:rFonts w:ascii="Arial" w:cs="Arial" w:eastAsia="Arial" w:hAnsi="Arial"/>
          <w:b/>
          <w:bCs/>
          <w:color w:val="1F3864"/>
          <w:sz w:val="22"/>
          <w:szCs w:val="22"/>
        </w:rPr>
        <w:t xml:space="preserve">4.3  Operator Display Layer</w:t>
      </w:r>
    </w:p>
    <w:p>
      <w:pPr>
        <w:spacing w:after="80" w:before="80"/>
      </w:pPr>
      <w:r>
        <w:rPr>
          <w:rFonts w:ascii="Arial" w:cs="Arial" w:eastAsia="Arial" w:hAnsi="Arial"/>
          <w:sz w:val="20"/>
          <w:szCs w:val="20"/>
        </w:rPr>
        <w:t xml:space="preserve">Two operator display systems sit alongside the five-layer data flow. Neither is a data processing layer.</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Display</w:t>
            </w:r>
          </w:p>
        </w:tc>
        <w:tc>
          <w:tcPr>
            <w:tcW w:type="dxa" w:w="696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groov View HMI</w:t>
            </w:r>
          </w:p>
        </w:tc>
        <w:tc>
          <w:tcPr>
            <w:tcW w:type="dxa" w:w="6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Runs natively on EPIC-PR1. Subscribes from broker via EPIC. Displays real-time line status, alarms, shift data. Publishes operator commands back to broker. Operational independent of NAS stack.</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Ignition Perspective · Samsung Tab</w:t>
            </w:r>
          </w:p>
        </w:tc>
        <w:tc>
          <w:tcPr>
            <w:tcW w:type="dxa" w:w="6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Thin client browser session served by Ignition. WiFi connected. Operator interactions pass through Ignition back to broker and are captured by Telegraf into InfluxDB. Complete human context preserved alongside machine data.</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PanelView 800</w:t>
            </w:r>
          </w:p>
        </w:tc>
        <w:tc>
          <w:tcPr>
            <w:tcW w:type="dxa" w:w="6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Machine-level HMI. Direct EtherNet/IP to PLCs only. Not a UNS participant. Not connected to broker. Represents legacy HMI class present in existing manufacturing facilities.</w:t>
            </w:r>
          </w:p>
        </w:tc>
      </w:tr>
    </w:tbl>
    <w:p>
      <w:pPr>
        <w:pBdr>
          <w:bottom w:val="single" w:color="1F3864" w:sz="6" w:space="1"/>
        </w:pBdr>
        <w:spacing w:after="120" w:before="320"/>
      </w:pPr>
      <w:r>
        <w:rPr>
          <w:rFonts w:ascii="Arial" w:cs="Arial" w:eastAsia="Arial" w:hAnsi="Arial"/>
          <w:b/>
          <w:bCs/>
          <w:color w:val="1F3864"/>
          <w:sz w:val="24"/>
          <w:szCs w:val="24"/>
        </w:rPr>
        <w:t xml:space="preserve">5.  MQTT Credential Structure</w:t>
      </w:r>
    </w:p>
    <w:p>
      <w:pPr>
        <w:spacing w:after="80" w:before="80"/>
      </w:pPr>
      <w:r>
        <w:rPr>
          <w:rFonts w:ascii="Arial" w:cs="Arial" w:eastAsia="Arial" w:hAnsi="Arial"/>
          <w:sz w:val="20"/>
          <w:szCs w:val="20"/>
        </w:rPr>
        <w:t xml:space="preserve">Each device or software instance connecting to the Mosquitto broker is assigned a unique credential set. No shared credentials between devices. Naming convention follows ISA-95 site and device structure.</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10"/>
              <w:left w:type="dxa" w:w="150"/>
              <w:bottom w:type="dxa" w:w="110"/>
              <w:right w:type="dxa" w:w="150"/>
            </w:tcMar>
          </w:tcPr>
          <w:p>
            <w:r>
              <w:rPr>
                <w:rFonts w:ascii="Arial" w:cs="Arial" w:eastAsia="Arial" w:hAnsi="Arial"/>
                <w:b/>
                <w:bCs/>
                <w:color w:val="7F6000"/>
                <w:sz w:val="20"/>
                <w:szCs w:val="20"/>
              </w:rPr>
              <w:t xml:space="preserve">SECURITY NOTE</w:t>
            </w:r>
          </w:p>
          <w:p>
            <w:r>
              <w:rPr>
                <w:rFonts w:ascii="Arial" w:cs="Arial" w:eastAsia="Arial" w:hAnsi="Arial"/>
                <w:sz w:val="20"/>
                <w:szCs w:val="20"/>
              </w:rPr>
              <w:t xml:space="preserve">Credentials to be created on broker prior to first device connection. Passwords are not documented here. Stored in /etc/mosquitto/passwd on broker node only.</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Credential</w:t>
            </w:r>
          </w:p>
        </w:tc>
        <w:tc>
          <w:tcPr>
            <w:tcW w:type="dxa" w:w="300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Device</w:t>
            </w:r>
          </w:p>
        </w:tc>
        <w:tc>
          <w:tcPr>
            <w:tcW w:type="dxa" w:w="356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Role</w:t>
            </w:r>
          </w:p>
        </w:tc>
      </w:tr>
      <w:tr>
        <w:tc>
          <w:tcPr>
            <w:tcW w:type="dxa" w:w="28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epic-s1-publish</w:t>
            </w:r>
          </w:p>
        </w:tc>
        <w:tc>
          <w:tcPr>
            <w:tcW w:type="dxa" w:w="30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groov EPIC-PR1</w:t>
            </w:r>
          </w:p>
        </w:tc>
        <w:tc>
          <w:tcPr>
            <w:tcW w:type="dxa" w:w="35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Site 1 Sparkplug B publisher to broker</w:t>
            </w:r>
          </w:p>
        </w:tc>
      </w:tr>
      <w:tr>
        <w:tc>
          <w:tcPr>
            <w:tcW w:type="dxa" w:w="28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epic-s1-nodered</w:t>
            </w:r>
          </w:p>
        </w:tc>
        <w:tc>
          <w:tcPr>
            <w:tcW w:type="dxa" w:w="30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groov EPIC-PR1</w:t>
            </w:r>
          </w:p>
        </w:tc>
        <w:tc>
          <w:tcPr>
            <w:tcW w:type="dxa" w:w="35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Node-RED instance on EPIC — translate + transmit flows</w:t>
            </w:r>
          </w:p>
        </w:tc>
      </w:tr>
      <w:tr>
        <w:tc>
          <w:tcPr>
            <w:tcW w:type="dxa" w:w="28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wago-s2-publish</w:t>
            </w:r>
          </w:p>
        </w:tc>
        <w:tc>
          <w:tcPr>
            <w:tcW w:type="dxa" w:w="30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Wago PFC200</w:t>
            </w:r>
          </w:p>
        </w:tc>
        <w:tc>
          <w:tcPr>
            <w:tcW w:type="dxa" w:w="35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Site 2 native MQTT Sparkplug B publisher</w:t>
            </w:r>
          </w:p>
        </w:tc>
      </w:tr>
      <w:tr>
        <w:tc>
          <w:tcPr>
            <w:tcW w:type="dxa" w:w="28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wago-s2-nodered</w:t>
            </w:r>
          </w:p>
        </w:tc>
        <w:tc>
          <w:tcPr>
            <w:tcW w:type="dxa" w:w="30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Wago PFC200</w:t>
            </w:r>
          </w:p>
        </w:tc>
        <w:tc>
          <w:tcPr>
            <w:tcW w:type="dxa" w:w="35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Onboard Node-RED — orchestration flows</w:t>
            </w:r>
          </w:p>
        </w:tc>
      </w:tr>
      <w:tr>
        <w:tc>
          <w:tcPr>
            <w:tcW w:type="dxa" w:w="28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nas-ignition</w:t>
            </w:r>
          </w:p>
        </w:tc>
        <w:tc>
          <w:tcPr>
            <w:tcW w:type="dxa" w:w="30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AOOSTAR NAS — Ignition LXC</w:t>
            </w:r>
          </w:p>
        </w:tc>
        <w:tc>
          <w:tcPr>
            <w:tcW w:type="dxa" w:w="35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Ignition MQTT Engine — subscribes all UNS topics</w:t>
            </w:r>
          </w:p>
        </w:tc>
      </w:tr>
      <w:tr>
        <w:tc>
          <w:tcPr>
            <w:tcW w:type="dxa" w:w="28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nas-telegraf</w:t>
            </w:r>
          </w:p>
        </w:tc>
        <w:tc>
          <w:tcPr>
            <w:tcW w:type="dxa" w:w="30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AOOSTAR NAS — Telegraf LXC</w:t>
            </w:r>
          </w:p>
        </w:tc>
        <w:tc>
          <w:tcPr>
            <w:tcW w:type="dxa" w:w="35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Telegraf — subscribes all topics — writes to InfluxDB</w:t>
            </w:r>
          </w:p>
        </w:tc>
      </w:tr>
      <w:tr>
        <w:tc>
          <w:tcPr>
            <w:tcW w:type="dxa" w:w="28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nas-nodered</w:t>
            </w:r>
          </w:p>
        </w:tc>
        <w:tc>
          <w:tcPr>
            <w:tcW w:type="dxa" w:w="30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AOOSTAR NAS — Node-RED LXC</w:t>
            </w:r>
          </w:p>
        </w:tc>
        <w:tc>
          <w:tcPr>
            <w:tcW w:type="dxa" w:w="35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Node-RED — shift management publishes to broker</w:t>
            </w:r>
          </w:p>
        </w:tc>
      </w:tr>
      <w:tr>
        <w:tc>
          <w:tcPr>
            <w:tcW w:type="dxa" w:w="28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admin</w:t>
            </w:r>
          </w:p>
        </w:tc>
        <w:tc>
          <w:tcPr>
            <w:tcW w:type="dxa" w:w="30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Broker node only</w:t>
            </w:r>
          </w:p>
        </w:tc>
        <w:tc>
          <w:tcPr>
            <w:tcW w:type="dxa" w:w="35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Administrative access — broker management only</w:t>
            </w:r>
          </w:p>
        </w:tc>
      </w:tr>
    </w:tbl>
    <w:p>
      <w:pPr>
        <w:pBdr>
          <w:bottom w:val="single" w:color="1F3864" w:sz="6" w:space="1"/>
        </w:pBdr>
        <w:spacing w:after="120" w:before="320"/>
      </w:pPr>
      <w:r>
        <w:rPr>
          <w:rFonts w:ascii="Arial" w:cs="Arial" w:eastAsia="Arial" w:hAnsi="Arial"/>
          <w:b/>
          <w:bCs/>
          <w:color w:val="1F3864"/>
          <w:sz w:val="24"/>
          <w:szCs w:val="24"/>
        </w:rPr>
        <w:t xml:space="preserve">6.  Network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10"/>
              <w:left w:type="dxa" w:w="150"/>
              <w:bottom w:type="dxa" w:w="110"/>
              <w:right w:type="dxa" w:w="150"/>
            </w:tcMar>
          </w:tcPr>
          <w:p>
            <w:r>
              <w:rPr>
                <w:rFonts w:ascii="Arial" w:cs="Arial" w:eastAsia="Arial" w:hAnsi="Arial"/>
                <w:b/>
                <w:bCs/>
                <w:color w:val="7F6000"/>
                <w:sz w:val="20"/>
                <w:szCs w:val="20"/>
              </w:rPr>
              <w:t xml:space="preserve">PENDING</w:t>
            </w:r>
          </w:p>
          <w:p>
            <w:r>
              <w:rPr>
                <w:rFonts w:ascii="Arial" w:cs="Arial" w:eastAsia="Arial" w:hAnsi="Arial"/>
                <w:sz w:val="20"/>
                <w:szCs w:val="20"/>
              </w:rPr>
              <w:t xml:space="preserve">All static IP reservations to be assigned on Cisco switch as each device is connected and commissioned. This section will be updated to Rev 0.3 when all IPs are confirmed and wired ethernet is active on all IIoT layer devices.</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Switch</w:t>
            </w:r>
          </w:p>
        </w:tc>
        <w:tc>
          <w:tcPr>
            <w:tcW w:type="dxa" w:w="6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Cisco SG300-28PP-K9 — 802.3at PoE+ — managed — VLAN capable</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VLAN Assignment</w:t>
            </w:r>
          </w:p>
        </w:tc>
        <w:tc>
          <w:tcPr>
            <w:tcW w:type="dxa" w:w="696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IIoT devices — VLAN 10.10.5.x — see network register for full VLAN map</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Broker IP</w:t>
            </w:r>
          </w:p>
        </w:tc>
        <w:tc>
          <w:tcPr>
            <w:tcW w:type="dxa" w:w="696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Target: 10.10.5.11 — static DHCP reservation via Cisco switch — pending PoE+ hat swap and wired ethernet</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EPIC-PR1 IP</w:t>
            </w:r>
          </w:p>
        </w:tc>
        <w:tc>
          <w:tcPr>
            <w:tcW w:type="dxa" w:w="6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TBD — static reservation to be assigned on Cisco switch at commissioning</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Wago PFC200 IP</w:t>
            </w:r>
          </w:p>
        </w:tc>
        <w:tc>
          <w:tcPr>
            <w:tcW w:type="dxa" w:w="6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TBD — static reservation to be assigned on Cisco switch at commissioning</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AOOSTAR NAS IP</w:t>
            </w:r>
          </w:p>
        </w:tc>
        <w:tc>
          <w:tcPr>
            <w:tcW w:type="dxa" w:w="696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TBD — target 10.10.5.x — Proxmox management interface + LXC container IPs — static reservation on Cisco switch</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MQTT Port</w:t>
            </w:r>
          </w:p>
        </w:tc>
        <w:tc>
          <w:tcPr>
            <w:tcW w:type="dxa" w:w="696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1883 — all IIoT devices on same VLAN — no firewall traversal required</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OPC-UA Port</w:t>
            </w:r>
          </w:p>
        </w:tc>
        <w:tc>
          <w:tcPr>
            <w:tcW w:type="dxa" w:w="696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4840 — default — Ignition OPC-UA server on AOOSTAR NAS</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SSH Access</w:t>
            </w:r>
          </w:p>
        </w:tc>
        <w:tc>
          <w:tcPr>
            <w:tcW w:type="dxa" w:w="696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ssh broker@RasPiMosquitoBroker.local — or by IP — port 22 — ufw active</w:t>
            </w:r>
          </w:p>
        </w:tc>
      </w:tr>
    </w:tbl>
    <w:p>
      <w:pPr>
        <w:pBdr>
          <w:bottom w:val="single" w:color="1F3864" w:sz="6" w:space="1"/>
        </w:pBdr>
        <w:spacing w:after="120" w:before="320"/>
      </w:pPr>
      <w:r>
        <w:rPr>
          <w:rFonts w:ascii="Arial" w:cs="Arial" w:eastAsia="Arial" w:hAnsi="Arial"/>
          <w:b/>
          <w:bCs/>
          <w:color w:val="1F3864"/>
          <w:sz w:val="24"/>
          <w:szCs w:val="24"/>
        </w:rPr>
        <w:t xml:space="preserve">7.  Open Items</w:t>
      </w:r>
    </w:p>
    <w:p>
      <w:pPr>
        <w:spacing w:after="80" w:before="80"/>
      </w:pPr>
      <w:r>
        <w:rPr>
          <w:rFonts w:ascii="Arial" w:cs="Arial" w:eastAsia="Arial" w:hAnsi="Arial"/>
          <w:sz w:val="20"/>
          <w:szCs w:val="20"/>
        </w:rPr>
        <w:t xml:space="preserve">Items below are pending configuration and commissioning work. Organized by phase.</w:t>
      </w:r>
    </w:p>
    <w:p>
      <w:pPr>
        <w:spacing w:after="80" w:before="220"/>
      </w:pPr>
      <w:r>
        <w:rPr>
          <w:rFonts w:ascii="Arial" w:cs="Arial" w:eastAsia="Arial" w:hAnsi="Arial"/>
          <w:b/>
          <w:bCs/>
          <w:color w:val="1F3864"/>
          <w:sz w:val="22"/>
          <w:szCs w:val="22"/>
        </w:rPr>
        <w:t xml:space="preserve">Phase 1 — Broker and Transport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360"/>
        <w:gridCol w:w="4000"/>
      </w:tblGrid>
      <w:tr>
        <w:tc>
          <w:tcPr>
            <w:tcW w:type="dxa" w:w="100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w:t>
            </w:r>
          </w:p>
        </w:tc>
        <w:tc>
          <w:tcPr>
            <w:tcW w:type="dxa" w:w="436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Item</w:t>
            </w:r>
          </w:p>
        </w:tc>
        <w:tc>
          <w:tcPr>
            <w:tcW w:type="dxa" w:w="400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Notes</w:t>
            </w:r>
          </w:p>
        </w:tc>
      </w:tr>
      <w:tr>
        <w:tc>
          <w:tcPr>
            <w:tcW w:type="dxa" w:w="10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P1-01</w:t>
            </w:r>
          </w:p>
        </w:tc>
        <w:tc>
          <w:tcPr>
            <w:tcW w:type="dxa" w:w="43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Swap Pi to PoE Texas PoE+ hat — connect wired ethernet to Cisco switch</w:t>
            </w:r>
          </w:p>
        </w:tc>
        <w:tc>
          <w:tcPr>
            <w:tcW w:type="dxa" w:w="40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Hardware in hand. Swap required before static IP assignment.</w:t>
            </w:r>
          </w:p>
        </w:tc>
      </w:tr>
      <w:tr>
        <w:tc>
          <w:tcPr>
            <w:tcW w:type="dxa" w:w="10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P1-02</w:t>
            </w:r>
          </w:p>
        </w:tc>
        <w:tc>
          <w:tcPr>
            <w:tcW w:type="dxa" w:w="43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Assign static DHCP reservation for broker on Cisco switch — target 10.10.5.11</w:t>
            </w:r>
          </w:p>
        </w:tc>
        <w:tc>
          <w:tcPr>
            <w:tcW w:type="dxa" w:w="40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After wired ethernet confirmed operational.</w:t>
            </w:r>
          </w:p>
        </w:tc>
      </w:tr>
      <w:tr>
        <w:tc>
          <w:tcPr>
            <w:tcW w:type="dxa" w:w="10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P1-03</w:t>
            </w:r>
          </w:p>
        </w:tc>
        <w:tc>
          <w:tcPr>
            <w:tcW w:type="dxa" w:w="43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Disable WiFi on Pi after wired connection verified — sudo rfkill block wifi</w:t>
            </w:r>
          </w:p>
        </w:tc>
        <w:tc>
          <w:tcPr>
            <w:tcW w:type="dxa" w:w="40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Document in broker config Rev 0.4.</w:t>
            </w:r>
          </w:p>
        </w:tc>
      </w:tr>
      <w:tr>
        <w:tc>
          <w:tcPr>
            <w:tcW w:type="dxa" w:w="10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P1-04</w:t>
            </w:r>
          </w:p>
        </w:tc>
        <w:tc>
          <w:tcPr>
            <w:tcW w:type="dxa" w:w="43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Create all MQTT credentials on broker per Section 5 — including nas-telegraf</w:t>
            </w:r>
          </w:p>
        </w:tc>
        <w:tc>
          <w:tcPr>
            <w:tcW w:type="dxa" w:w="40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Passwords stored on broker node only.</w:t>
            </w:r>
          </w:p>
        </w:tc>
      </w:tr>
      <w:tr>
        <w:tc>
          <w:tcPr>
            <w:tcW w:type="dxa" w:w="10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P1-05</w:t>
            </w:r>
          </w:p>
        </w:tc>
        <w:tc>
          <w:tcPr>
            <w:tcW w:type="dxa" w:w="43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Configure EPIC-PR1 Sparkplug B publish — topic structure per UNS Subscription Register</w:t>
            </w:r>
          </w:p>
        </w:tc>
        <w:tc>
          <w:tcPr>
            <w:tcW w:type="dxa" w:w="40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Validate with MQTT Explorer on laptop.</w:t>
            </w:r>
          </w:p>
        </w:tc>
      </w:tr>
      <w:tr>
        <w:tc>
          <w:tcPr>
            <w:tcW w:type="dxa" w:w="10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P1-06</w:t>
            </w:r>
          </w:p>
        </w:tc>
        <w:tc>
          <w:tcPr>
            <w:tcW w:type="dxa" w:w="43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Validate Sparkplug B payload — confirm full ISA-95 metric names survive round trip</w:t>
            </w:r>
          </w:p>
        </w:tc>
        <w:tc>
          <w:tcPr>
            <w:tcW w:type="dxa" w:w="40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Test: EPIC Node-RED → broker → MQTT Explorer. See ADR open item OI-01.</w:t>
            </w:r>
          </w:p>
        </w:tc>
      </w:tr>
      <w:tr>
        <w:tc>
          <w:tcPr>
            <w:tcW w:type="dxa" w:w="10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P1-07</w:t>
            </w:r>
          </w:p>
        </w:tc>
        <w:tc>
          <w:tcPr>
            <w:tcW w:type="dxa" w:w="43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Configure Wago PFC200 native MQTT publish — Sparkplug B to broker</w:t>
            </w:r>
          </w:p>
        </w:tc>
        <w:tc>
          <w:tcPr>
            <w:tcW w:type="dxa" w:w="40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e!COCKPIT native MQTT library preferred over Docker Node-RED.</w:t>
            </w:r>
          </w:p>
        </w:tc>
      </w:tr>
      <w:tr>
        <w:tc>
          <w:tcPr>
            <w:tcW w:type="dxa" w:w="10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P1-08</w:t>
            </w:r>
          </w:p>
        </w:tc>
        <w:tc>
          <w:tcPr>
            <w:tcW w:type="dxa" w:w="43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Confirm groov View subscribes from broker and displays real-time data</w:t>
            </w:r>
          </w:p>
        </w:tc>
        <w:tc>
          <w:tcPr>
            <w:tcW w:type="dxa" w:w="40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Validate independent of NAS stack. See ADR OI-05.</w:t>
            </w:r>
          </w:p>
        </w:tc>
      </w:tr>
    </w:tbl>
    <w:p>
      <w:pPr>
        <w:spacing w:after="80" w:before="220"/>
      </w:pPr>
      <w:r>
        <w:rPr>
          <w:rFonts w:ascii="Arial" w:cs="Arial" w:eastAsia="Arial" w:hAnsi="Arial"/>
          <w:b/>
          <w:bCs/>
          <w:color w:val="1F3864"/>
          <w:sz w:val="22"/>
          <w:szCs w:val="22"/>
        </w:rPr>
        <w:t xml:space="preserve">Phase 2 — Intelligence and Historian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360"/>
        <w:gridCol w:w="4000"/>
      </w:tblGrid>
      <w:tr>
        <w:tc>
          <w:tcPr>
            <w:tcW w:type="dxa" w:w="100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w:t>
            </w:r>
          </w:p>
        </w:tc>
        <w:tc>
          <w:tcPr>
            <w:tcW w:type="dxa" w:w="436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Item</w:t>
            </w:r>
          </w:p>
        </w:tc>
        <w:tc>
          <w:tcPr>
            <w:tcW w:type="dxa" w:w="400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Notes</w:t>
            </w:r>
          </w:p>
        </w:tc>
      </w:tr>
      <w:tr>
        <w:tc>
          <w:tcPr>
            <w:tcW w:type="dxa" w:w="10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P2-01</w:t>
            </w:r>
          </w:p>
        </w:tc>
        <w:tc>
          <w:tcPr>
            <w:tcW w:type="dxa" w:w="43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Install Proxmox VE on AOOSTAR NAS — configure LXC containers for IIoT stack</w:t>
            </w:r>
          </w:p>
        </w:tc>
        <w:tc>
          <w:tcPr>
            <w:tcW w:type="dxa" w:w="40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RAM sourced from OMEN 16 upgrade. Proxmox installation pending RAM swap.</w:t>
            </w:r>
          </w:p>
        </w:tc>
      </w:tr>
      <w:tr>
        <w:tc>
          <w:tcPr>
            <w:tcW w:type="dxa" w:w="10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P2-02</w:t>
            </w:r>
          </w:p>
        </w:tc>
        <w:tc>
          <w:tcPr>
            <w:tcW w:type="dxa" w:w="43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Deploy Ignition in Proxmox LXC — activate Cirrus Link MQTT modules</w:t>
            </w:r>
          </w:p>
        </w:tc>
        <w:tc>
          <w:tcPr>
            <w:tcW w:type="dxa" w:w="40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Confirm MQTT Engine subscribes all broker topics correctly.</w:t>
            </w:r>
          </w:p>
        </w:tc>
      </w:tr>
      <w:tr>
        <w:tc>
          <w:tcPr>
            <w:tcW w:type="dxa" w:w="10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P2-03</w:t>
            </w:r>
          </w:p>
        </w:tc>
        <w:tc>
          <w:tcPr>
            <w:tcW w:type="dxa" w:w="43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Validate Ignition tag database mirrors ISA-95 UNS hierarchy correctly</w:t>
            </w:r>
          </w:p>
        </w:tc>
        <w:tc>
          <w:tcPr>
            <w:tcW w:type="dxa" w:w="40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Check tag paths match UNS Subscription Register. See ADR OI-02.</w:t>
            </w:r>
          </w:p>
        </w:tc>
      </w:tr>
      <w:tr>
        <w:tc>
          <w:tcPr>
            <w:tcW w:type="dxa" w:w="10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P2-04</w:t>
            </w:r>
          </w:p>
        </w:tc>
        <w:tc>
          <w:tcPr>
            <w:tcW w:type="dxa" w:w="43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Configure Ignition OEE calculations — confirm single calculation engine publishing derived metrics back to broker</w:t>
            </w:r>
          </w:p>
        </w:tc>
        <w:tc>
          <w:tcPr>
            <w:tcW w:type="dxa" w:w="40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Verify Telegraf captures derived metrics into InfluxDB.</w:t>
            </w:r>
          </w:p>
        </w:tc>
      </w:tr>
      <w:tr>
        <w:tc>
          <w:tcPr>
            <w:tcW w:type="dxa" w:w="10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P2-05</w:t>
            </w:r>
          </w:p>
        </w:tc>
        <w:tc>
          <w:tcPr>
            <w:tcW w:type="dxa" w:w="43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Deploy and configure Telegraf in Proxmox LXC — MQTT consumer plugin to InfluxDB</w:t>
            </w:r>
          </w:p>
        </w:tc>
        <w:tc>
          <w:tcPr>
            <w:tcW w:type="dxa" w:w="40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Verify Sparkplug B timestamp fidelity in InfluxDB. See ADR OI-03.</w:t>
            </w:r>
          </w:p>
        </w:tc>
      </w:tr>
      <w:tr>
        <w:tc>
          <w:tcPr>
            <w:tcW w:type="dxa" w:w="10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P2-06</w:t>
            </w:r>
          </w:p>
        </w:tc>
        <w:tc>
          <w:tcPr>
            <w:tcW w:type="dxa" w:w="43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Deploy InfluxDB OSS in Proxmox LXC on dedicated NVMe — configure buckets and retention policies</w:t>
            </w:r>
          </w:p>
        </w:tc>
        <w:tc>
          <w:tcPr>
            <w:tcW w:type="dxa" w:w="40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Confirm ISA-95 hierarchy preserved in measurement tags.</w:t>
            </w:r>
          </w:p>
        </w:tc>
      </w:tr>
      <w:tr>
        <w:tc>
          <w:tcPr>
            <w:tcW w:type="dxa" w:w="10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P2-07</w:t>
            </w:r>
          </w:p>
        </w:tc>
        <w:tc>
          <w:tcPr>
            <w:tcW w:type="dxa" w:w="43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Configure InfluxDB Tasks for scheduled aggregations — shift totals and rolling averages</w:t>
            </w:r>
          </w:p>
        </w:tc>
        <w:tc>
          <w:tcPr>
            <w:tcW w:type="dxa" w:w="40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See ADR OI-04.</w:t>
            </w:r>
          </w:p>
        </w:tc>
      </w:tr>
      <w:tr>
        <w:tc>
          <w:tcPr>
            <w:tcW w:type="dxa" w:w="10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P2-08</w:t>
            </w:r>
          </w:p>
        </w:tc>
        <w:tc>
          <w:tcPr>
            <w:tcW w:type="dxa" w:w="43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Deploy Grafana OSS in Proxmox LXC — configure InfluxDB data source</w:t>
            </w:r>
          </w:p>
        </w:tc>
        <w:tc>
          <w:tcPr>
            <w:tcW w:type="dxa" w:w="40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Confirm Grafana reads InfluxDB only — no direct broker connection.</w:t>
            </w:r>
          </w:p>
        </w:tc>
      </w:tr>
      <w:tr>
        <w:tc>
          <w:tcPr>
            <w:tcW w:type="dxa" w:w="10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P2-09</w:t>
            </w:r>
          </w:p>
        </w:tc>
        <w:tc>
          <w:tcPr>
            <w:tcW w:type="dxa" w:w="43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Configure Ignition Perspective for Samsung Tab — validate WiFi session delivery</w:t>
            </w:r>
          </w:p>
        </w:tc>
        <w:tc>
          <w:tcPr>
            <w:tcW w:type="dxa" w:w="40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Confirm operator interactions publish to broker via Ignition. See ADR OI-06.</w:t>
            </w:r>
          </w:p>
        </w:tc>
      </w:tr>
      <w:tr>
        <w:tc>
          <w:tcPr>
            <w:tcW w:type="dxa" w:w="10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P2-10</w:t>
            </w:r>
          </w:p>
        </w:tc>
        <w:tc>
          <w:tcPr>
            <w:tcW w:type="dxa" w:w="43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Assign all remaining static IP reservations and update Section 6 to Rev 0.3</w:t>
            </w:r>
          </w:p>
        </w:tc>
        <w:tc>
          <w:tcPr>
            <w:tcW w:type="dxa" w:w="40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Document final IPs in network register at same time.</w:t>
            </w:r>
          </w:p>
        </w:tc>
      </w:tr>
    </w:tbl>
    <w:p>
      <w:pPr>
        <w:pBdr>
          <w:bottom w:val="single" w:color="1F3864" w:sz="6" w:space="1"/>
        </w:pBdr>
        <w:spacing w:after="120" w:before="320"/>
      </w:pPr>
      <w:r>
        <w:rPr>
          <w:rFonts w:ascii="Arial" w:cs="Arial" w:eastAsia="Arial" w:hAnsi="Arial"/>
          <w:b/>
          <w:bCs/>
          <w:color w:val="1F3864"/>
          <w:sz w:val="24"/>
          <w:szCs w:val="24"/>
        </w:rPr>
        <w:t xml:space="preserve">8.  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DOCUMENT INFORMATION</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Document Title</w:t>
            </w:r>
          </w:p>
        </w:tc>
        <w:tc>
          <w:tcPr>
            <w:tcW w:type="dxa" w:w="6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IIoT &amp; Data Layer Architecture — Loogootee Mfg. Training Simulation</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Prepared By</w:t>
            </w:r>
          </w:p>
        </w:tc>
        <w:tc>
          <w:tcPr>
            <w:tcW w:type="dxa" w:w="6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Jeremy Field — Senior Automation Technician</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Revision</w:t>
            </w:r>
          </w:p>
        </w:tc>
        <w:tc>
          <w:tcPr>
            <w:tcW w:type="dxa" w:w="6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Rev 0.2 — Revised architecture, updated hardware, added Telegraf and InfluxDB, updated to AOOSTAR NAS / Proxmox</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Date</w:t>
            </w:r>
          </w:p>
        </w:tc>
        <w:tc>
          <w:tcPr>
            <w:tcW w:type="dxa" w:w="6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April 2026</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Status</w:t>
            </w:r>
          </w:p>
        </w:tc>
        <w:tc>
          <w:tcPr>
            <w:tcW w:type="dxa" w:w="6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Training Simulation — Not for Distribution</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Repository</w:t>
            </w:r>
          </w:p>
        </w:tc>
        <w:tc>
          <w:tcPr>
            <w:tcW w:type="dxa" w:w="6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github.com/JeremySField/loogootee-mfg-training-simulation</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Related Docs</w:t>
            </w:r>
          </w:p>
        </w:tc>
        <w:tc>
          <w:tcPr>
            <w:tcW w:type="dxa" w:w="6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IIoT Architecture Decision Record Rev 0.1  /  ISA-95 Tag Naming Standard Rev 0.1  /  UNS Subscription Register Rev 0.1  /  Pi Broker Config Rev 0.3  /  NAS Infrastructure Implementation Rev 0.1</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Update Cadence</w:t>
            </w:r>
          </w:p>
        </w:tc>
        <w:tc>
          <w:tcPr>
            <w:tcW w:type="dxa" w:w="6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Updated as devices are commissioned and open items are resolved. Rev 0.3 targets completion of all static IP assignments.</w:t>
            </w:r>
          </w:p>
        </w:tc>
      </w:tr>
    </w:tbl>
    <w:p>
      <w:pPr>
        <w:spacing w:after="0" w:before="100"/>
      </w:pPr>
    </w:p>
    <w:p>
      <w:pPr>
        <w:spacing w:after="80" w:before="160"/>
      </w:pPr>
      <w:r>
        <w:rPr>
          <w:rFonts w:ascii="Arial" w:cs="Arial" w:eastAsia="Arial" w:hAnsi="Arial"/>
          <w:b/>
          <w:bCs/>
          <w:color w:val="1F3864"/>
          <w:sz w:val="22"/>
          <w:szCs w:val="2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2200"/>
        <w:gridCol w:w="4360"/>
      </w:tblGrid>
      <w:tr>
        <w:tc>
          <w:tcPr>
            <w:tcW w:type="dxa" w:w="100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Rev</w:t>
            </w:r>
          </w:p>
        </w:tc>
        <w:tc>
          <w:tcPr>
            <w:tcW w:type="dxa" w:w="180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Date</w:t>
            </w:r>
          </w:p>
        </w:tc>
        <w:tc>
          <w:tcPr>
            <w:tcW w:type="dxa" w:w="220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Author</w:t>
            </w:r>
          </w:p>
        </w:tc>
        <w:tc>
          <w:tcPr>
            <w:tcW w:type="dxa" w:w="436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0.1</w:t>
            </w:r>
          </w:p>
        </w:tc>
        <w:tc>
          <w:tcPr>
            <w:tcW w:type="dxa" w:w="1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April 4, 2026</w:t>
            </w:r>
          </w:p>
        </w:tc>
        <w:tc>
          <w:tcPr>
            <w:tcW w:type="dxa" w:w="22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Jeremy Field</w:t>
            </w:r>
          </w:p>
        </w:tc>
        <w:tc>
          <w:tcPr>
            <w:tcW w:type="dxa" w:w="43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Initial issue. Hardware inventory, software stack, data flow, credential structure, network configuration.</w:t>
            </w:r>
          </w:p>
        </w:tc>
      </w:tr>
      <w:tr>
        <w:tc>
          <w:tcPr>
            <w:tcW w:type="dxa" w:w="10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0.2</w:t>
            </w:r>
          </w:p>
        </w:tc>
        <w:tc>
          <w:tcPr>
            <w:tcW w:type="dxa" w:w="1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April 2026</w:t>
            </w:r>
          </w:p>
        </w:tc>
        <w:tc>
          <w:tcPr>
            <w:tcW w:type="dxa" w:w="22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Jeremy Field</w:t>
            </w:r>
          </w:p>
        </w:tc>
        <w:tc>
          <w:tcPr>
            <w:tcW w:type="dxa" w:w="43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Revised data flow architecture to align with finalized five-layer design. Updated IIoT server from Industrial PC to AOOSTAR NAS / Proxmox LXC containers. Added Telegraf and InfluxDB to software stack. Updated credential names to NAS convention. Added Proxmox VM storage section. Corrected Section 4 data flow. Added nas-telegraf credential. Reformatted to match ADR document standard.</w:t>
            </w:r>
          </w:p>
        </w:tc>
      </w:tr>
    </w:tbl>
    <w:p>
      <w:pPr>
        <w:spacing w:before="300"/>
        <w:jc w:val="center"/>
      </w:pPr>
      <w:r>
        <w:rPr>
          <w:rFonts w:ascii="Arial" w:cs="Arial" w:eastAsia="Arial" w:hAnsi="Arial"/>
          <w:i/>
          <w:iCs/>
          <w:color w:val="666666"/>
          <w:sz w:val="18"/>
          <w:szCs w:val="18"/>
        </w:rPr>
        <w:t xml:space="preserve">Jeremy Field  ·  Rev 0.2  ·  April 2026  ·  Training Simulation — Not for Distribution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2026-04-15T12:45:53.212Z</dcterms:created>
  <dcterms:modified xsi:type="dcterms:W3CDTF">2026-04-15T12:45:53.213Z</dcterms:modified>
</cp:coreProperties>
</file>

<file path=docProps/custom.xml><?xml version="1.0" encoding="utf-8"?>
<Properties xmlns="http://schemas.openxmlformats.org/officeDocument/2006/custom-properties" xmlns:vt="http://schemas.openxmlformats.org/officeDocument/2006/docPropsVTypes"/>
</file>