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WMS &amp; Lot Traceability Architecture</w:t>
            </w:r>
          </w:p>
          <w:p>
            <w:pPr>
              <w:jc w:val="center"/>
            </w:pPr>
            <w:r>
              <w:rPr>
                <w:rFonts w:ascii="Arial" w:cs="Arial" w:eastAsia="Arial" w:hAnsi="Arial"/>
                <w:color w:val="FFFFFF"/>
                <w:sz w:val="22"/>
                <w:szCs w:val="22"/>
              </w:rPr>
              <w:t xml:space="preserve">Inventory Management &amp; In-Process Lot Tracking Design</w:t>
            </w:r>
          </w:p>
          <w:p>
            <w:pPr>
              <w:jc w:val="center"/>
            </w:pPr>
            <w:r>
              <w:rPr>
                <w:rFonts w:ascii="Arial" w:cs="Arial" w:eastAsia="Arial" w:hAnsi="Arial"/>
                <w:color w:val="D5E8F0"/>
                <w:sz w:val="20"/>
                <w:szCs w:val="20"/>
              </w:rPr>
              <w:t xml:space="preserve">Two-Site Precision Metal Stamping Operation</w:t>
            </w:r>
          </w:p>
          <w:p>
            <w:pPr>
              <w:spacing w:before="120"/>
              <w:jc w:val="center"/>
            </w:pPr>
            <w:r>
              <w:rPr>
                <w:rFonts w:ascii="Arial" w:cs="Arial" w:eastAsia="Arial" w:hAnsi="Arial"/>
                <w:i/>
                <w:iCs/>
                <w:color w:val="D5E8F0"/>
                <w:sz w:val="18"/>
                <w:szCs w:val="18"/>
              </w:rPr>
              <w:t xml:space="preserve">Rev 0.1  ·  April 4, 2026  ·  Design Specification — Implementation Deferred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b/>
                <w:bCs/>
                <w:color w:val="1F3864"/>
                <w:sz w:val="20"/>
                <w:szCs w:val="20"/>
              </w:rPr>
              <w:t xml:space="preserve">DESIGN SPECIFICATION — OUTSIDE PROJECT IMPLEMENTATION SCOPE</w:t>
            </w:r>
          </w:p>
          <w:p>
            <w:r>
              <w:rPr>
                <w:rFonts w:ascii="Arial" w:cs="Arial" w:eastAsia="Arial" w:hAnsi="Arial"/>
                <w:sz w:val="20"/>
                <w:szCs w:val="20"/>
              </w:rPr>
              <w:t xml:space="preserve">The WMS and lot traceability system described in this document is not implemented as part of the Loogootee Manufacturing training rack project. It is included as background architecture documentation because WMS integration is an unavoidable component of any real manufacturing modernization engagement. In a production facility, connecting IIoT data infrastructure to existing inventory and lot tracking systems — or designing that layer from scratch — is a standard scope item that cannot be ignored. This document defines how that system would be designed for the Loogootee simulation, establishing the data model, lot numbering convention, integration architecture, and operational logic. It serves as a reference for understanding the full scope of a real modernization project, even though the implementation itself is deferred.</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&amp; Context</w:t>
      </w:r>
    </w:p>
    <w:p>
      <w:pPr>
        <w:spacing w:after="80" w:before="80"/>
      </w:pPr>
      <w:r>
        <w:rPr>
          <w:rFonts w:ascii="Arial" w:cs="Arial" w:eastAsia="Arial" w:hAnsi="Arial"/>
          <w:sz w:val="20"/>
          <w:szCs w:val="20"/>
        </w:rPr>
        <w:t xml:space="preserve">This document defines the Warehouse Management System (WMS) and lot traceability architecture for the Loogootee Manufacturing simulation. It covers raw material intake, in-process tracking, inter-site transfer, finished goods management, and the data model that supports full cradle-to-grave lot visibility across both sites.</w:t>
      </w:r>
    </w:p>
    <w:p>
      <w:pPr>
        <w:spacing w:after="80" w:before="80"/>
      </w:pPr>
      <w:r>
        <w:rPr>
          <w:rFonts w:ascii="Arial" w:cs="Arial" w:eastAsia="Arial" w:hAnsi="Arial"/>
          <w:sz w:val="20"/>
          <w:szCs w:val="20"/>
        </w:rPr>
        <w:t xml:space="preserve">In any manufacturing modernization engagement, the question of inventory and lot traceability cannot be avoided. Legacy manufacturers typically have one of three situations: a standalone WMS that is not connected to the control layer, manual paper-based tracking that has no digital equivalent, or an ERP system with an inventory module that has never been integrated with the plant floor. Connecting real-time production data from PLCs and sensors to inventory and traceability systems is a standard deliverable in modernization projects — and frequently one of the highest-value outcomes for the customer.</w:t>
      </w:r>
    </w:p>
    <w:p>
      <w:pPr>
        <w:spacing w:after="80" w:before="80"/>
      </w:pPr>
      <w:r>
        <w:rPr>
          <w:rFonts w:ascii="Arial" w:cs="Arial" w:eastAsia="Arial" w:hAnsi="Arial"/>
          <w:sz w:val="20"/>
          <w:szCs w:val="20"/>
        </w:rPr>
        <w:t xml:space="preserve">The Loogootee simulation models this reality. The architecture described here represents what would be designed and implemented in a real engagement, using the same data model, the same lot numbering convention, and the same integration pathway. The fact that it is not implemented in the training rack does not diminish its value as a design reference.</w:t>
      </w:r>
    </w:p>
    <w:p>
      <w:pPr>
        <w:pBdr>
          <w:bottom w:val="single" w:color="1F3864" w:sz="6" w:space="1"/>
        </w:pBdr>
        <w:spacing w:after="120" w:before="320"/>
      </w:pPr>
      <w:r>
        <w:rPr>
          <w:rFonts w:ascii="Arial" w:cs="Arial" w:eastAsia="Arial" w:hAnsi="Arial"/>
          <w:b/>
          <w:bCs/>
          <w:color w:val="1F3864"/>
          <w:sz w:val="24"/>
          <w:szCs w:val="24"/>
        </w:rPr>
        <w:t xml:space="preserve">2.  Facility Overview</w:t>
      </w:r>
    </w:p>
    <w:p>
      <w:pPr>
        <w:spacing w:after="80" w:before="220"/>
      </w:pPr>
      <w:r>
        <w:rPr>
          <w:rFonts w:ascii="Arial" w:cs="Arial" w:eastAsia="Arial" w:hAnsi="Arial"/>
          <w:b/>
          <w:bCs/>
          <w:color w:val="1F3864"/>
          <w:sz w:val="22"/>
          <w:szCs w:val="22"/>
        </w:rPr>
        <w:t xml:space="preserve">2.1  Site 1 — Production Facility</w:t>
      </w:r>
    </w:p>
    <w:p>
      <w:pPr>
        <w:spacing w:after="80" w:before="80"/>
      </w:pPr>
      <w:r>
        <w:rPr>
          <w:rFonts w:ascii="Arial" w:cs="Arial" w:eastAsia="Arial" w:hAnsi="Arial"/>
          <w:sz w:val="20"/>
          <w:szCs w:val="20"/>
        </w:rPr>
        <w:t xml:space="preserve">Site 1 receives raw material wire spools, processes them through the full production sequence, and transfers finished bulk parts to Site 2. All active PLC-controlled process areas are located at Site 1.</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Area</w:t>
            </w:r>
          </w:p>
        </w:tc>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Code</w:t>
            </w:r>
          </w:p>
        </w:tc>
        <w:tc>
          <w:tcPr>
            <w:tcW w:type="dxa" w:w="4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Raw Material Receiving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RMR</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Intake of wire spools — lot creation — inventory entry</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Stamping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STM</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High-volume precision stamping — primary parts production</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High Speed Forming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HSF</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Secondary forming operations on stamped parts</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Wash / Processing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WSH</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Aqueous parts cleaning and surface treatment</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Inspection</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INS</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Quality inspection — pass/fail tracking — scrap recording</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Bulk Packaging &amp; Transfer</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BPK</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Bulk packaging of finished parts — transfer initiation to Site 2</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Site 1 Warehousing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WHS1</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Raw material and WIP storage — database managed</w:t>
            </w:r>
          </w:p>
        </w:tc>
      </w:tr>
    </w:tbl>
    <w:p>
      <w:pPr>
        <w:spacing w:after="80" w:before="220"/>
      </w:pPr>
      <w:r>
        <w:rPr>
          <w:rFonts w:ascii="Arial" w:cs="Arial" w:eastAsia="Arial" w:hAnsi="Arial"/>
          <w:b/>
          <w:bCs/>
          <w:color w:val="1F3864"/>
          <w:sz w:val="22"/>
          <w:szCs w:val="22"/>
        </w:rPr>
        <w:t xml:space="preserve">2.2  Site 2 — Packaging &amp; Warehousing</w:t>
      </w:r>
    </w:p>
    <w:p>
      <w:pPr>
        <w:spacing w:after="80" w:before="80"/>
      </w:pPr>
      <w:r>
        <w:rPr>
          <w:rFonts w:ascii="Arial" w:cs="Arial" w:eastAsia="Arial" w:hAnsi="Arial"/>
          <w:sz w:val="20"/>
          <w:szCs w:val="20"/>
        </w:rPr>
        <w:t xml:space="preserve">Site 2 receives bulk finished parts from Site 1, performs final packaging operations, and manages finished goods warehousing and inventory. One PLC is designated for Site 2 process control. Warehousing and inventory functions are database-driven, not PLC-controlled.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Area</w:t>
            </w:r>
          </w:p>
        </w:tc>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Code</w:t>
            </w:r>
          </w:p>
        </w:tc>
        <w:tc>
          <w:tcPr>
            <w:tcW w:type="dxa" w:w="4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Receiving from Site 1</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RCV2</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Inbound bulk parts — lot receipt — inventory update</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Final Packaging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FPK</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Customer-ready packaging operations</w:t>
            </w:r>
          </w:p>
        </w:tc>
      </w:tr>
      <w:tr>
        <w:tc>
          <w:tcPr>
            <w:tcW w:type="dxa" w:w="3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Site 2 Warehousing</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WHS2</w:t>
            </w:r>
          </w:p>
        </w:tc>
        <w:tc>
          <w:tcPr>
            <w:tcW w:type="dxa" w:w="4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Finished goods storage — inventory management — outbound</w:t>
            </w:r>
          </w:p>
        </w:tc>
      </w:tr>
    </w:tbl>
    <w:p>
      <w:pPr>
        <w:pBdr>
          <w:bottom w:val="single" w:color="1F3864" w:sz="6" w:space="1"/>
        </w:pBdr>
        <w:spacing w:after="120" w:before="320"/>
      </w:pPr>
      <w:r>
        <w:rPr>
          <w:rFonts w:ascii="Arial" w:cs="Arial" w:eastAsia="Arial" w:hAnsi="Arial"/>
          <w:b/>
          <w:bCs/>
          <w:color w:val="1F3864"/>
          <w:sz w:val="24"/>
          <w:szCs w:val="24"/>
        </w:rPr>
        <w:t xml:space="preserve">3.  Lot Numbering Convention</w:t>
      </w:r>
    </w:p>
    <w:p>
      <w:pPr>
        <w:spacing w:after="80" w:before="80"/>
      </w:pPr>
      <w:r>
        <w:rPr>
          <w:rFonts w:ascii="Arial" w:cs="Arial" w:eastAsia="Arial" w:hAnsi="Arial"/>
          <w:sz w:val="20"/>
          <w:szCs w:val="20"/>
        </w:rPr>
        <w:t xml:space="preserve">Lot numbers are assigned at raw material receiving and remain fixed for the life of the lot. The lot number is immutable — it does not change as the material moves through the facility. Current location is a status field that updates at each process transition, not a component of the lot number itself.</w:t>
      </w:r>
    </w:p>
    <w:p>
      <w:pPr>
        <w:spacing w:after="80" w:before="220"/>
      </w:pPr>
      <w:r>
        <w:rPr>
          <w:rFonts w:ascii="Arial" w:cs="Arial" w:eastAsia="Arial" w:hAnsi="Arial"/>
          <w:b/>
          <w:bCs/>
          <w:color w:val="1F3864"/>
          <w:sz w:val="22"/>
          <w:szCs w:val="22"/>
        </w:rPr>
        <w:t xml:space="preserve">3.1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90EE90"/>
                <w:sz w:val="18"/>
                <w:szCs w:val="18"/>
              </w:rPr>
              <w:t xml:space="preserve">YYYYMMDD-S#-AREA-#####</w:t>
            </w:r>
          </w:p>
        </w:tc>
      </w:tr>
    </w:tbl>
    <w:p>
      <w:pPr>
        <w:spacing w:after="80" w:before="220"/>
      </w:pPr>
      <w:r>
        <w:rPr>
          <w:rFonts w:ascii="Arial" w:cs="Arial" w:eastAsia="Arial" w:hAnsi="Arial"/>
          <w:b/>
          <w:bCs/>
          <w:color w:val="1F3864"/>
          <w:sz w:val="22"/>
          <w:szCs w:val="22"/>
        </w:rPr>
        <w:t xml:space="preserve">3.2  Component Definitions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7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YYYYMMDD</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Date of lot creation at raw material receiving. Enables FIFO rotation and deadline tracking.</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of origin. S1 for Site 1 raw material intake. S2 for lots originating at Site 2 (future use).</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AREA</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Area code where the lot was created. Always RMR for raw material lots. BPK for finished goods lots generated at bulk packaging.</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Zero-padded sequential number. Resets daily. Provides uniqueness within a date and site combination.</w:t>
            </w:r>
          </w:p>
        </w:tc>
      </w:tr>
    </w:tbl>
    <w:p>
      <w:pPr>
        <w:spacing w:after="80" w:before="220"/>
      </w:pPr>
      <w:r>
        <w:rPr>
          <w:rFonts w:ascii="Arial" w:cs="Arial" w:eastAsia="Arial" w:hAnsi="Arial"/>
          <w:b/>
          <w:bCs/>
          <w:color w:val="1F3864"/>
          <w:sz w:val="22"/>
          <w:szCs w:val="22"/>
        </w:rPr>
        <w:t xml:space="preserve">3.3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20260407-S1-RMR-00001   Raw material wire spool received April 7, 2026 — first lot of the day</w:t>
            </w:r>
          </w:p>
          <w:p>
            <w:r>
              <w:rPr>
                <w:rFonts w:ascii="Courier New" w:cs="Courier New" w:eastAsia="Courier New" w:hAnsi="Courier New"/>
                <w:color w:val="E8E8E8"/>
                <w:sz w:val="18"/>
                <w:szCs w:val="18"/>
              </w:rPr>
              <w:t xml:space="preserve">20260407-S1-BPK-00001   Finished goods lot generated at bulk packaging — same date</w:t>
            </w:r>
          </w:p>
          <w:p>
            <w:r>
              <w:rPr>
                <w:rFonts w:ascii="Courier New" w:cs="Courier New" w:eastAsia="Courier New" w:hAnsi="Courier New"/>
                <w:color w:val="E8E8E8"/>
                <w:sz w:val="18"/>
                <w:szCs w:val="18"/>
              </w:rPr>
              <w:t xml:space="preserve">20260408-S1-RMR-00003   Third raw material lot received April 8, 2026</w:t>
            </w:r>
          </w:p>
        </w:tc>
      </w:tr>
    </w:tbl>
    <w:p>
      <w:pPr>
        <w:spacing w:after="80" w:before="220"/>
      </w:pPr>
      <w:r>
        <w:rPr>
          <w:rFonts w:ascii="Arial" w:cs="Arial" w:eastAsia="Arial" w:hAnsi="Arial"/>
          <w:b/>
          <w:bCs/>
          <w:color w:val="1F3864"/>
          <w:sz w:val="22"/>
          <w:szCs w:val="22"/>
        </w:rPr>
        <w:t xml:space="preserve">3.4  Area Code Reference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Code</w:t>
            </w:r>
          </w:p>
        </w:tc>
        <w:tc>
          <w:tcPr>
            <w:tcW w:type="dxa" w:w="7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Area</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RMR</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Raw Material Receiving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STM</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Stamping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HSF</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High Speed Forming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WSH</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Wash / Processing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INS</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Inspection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BPK</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Bulk Packaging &amp; Transfer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WHS1</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Warehousing — Site 1</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RCV2</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Receiving — Site 2</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FPK</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Final Packaging — Site 2</w:t>
            </w:r>
          </w:p>
        </w:tc>
      </w:tr>
      <w:tr>
        <w:tc>
          <w:tcPr>
            <w:tcW w:type="dxa" w:w="18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WHS2</w:t>
            </w:r>
          </w:p>
        </w:tc>
        <w:tc>
          <w:tcPr>
            <w:tcW w:type="dxa" w:w="7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Warehousing — Site 2</w:t>
            </w:r>
          </w:p>
        </w:tc>
      </w:tr>
    </w:tbl>
    <w:p>
      <w:pPr>
        <w:pBdr>
          <w:bottom w:val="single" w:color="1F3864" w:sz="6" w:space="1"/>
        </w:pBdr>
        <w:spacing w:after="120" w:before="320"/>
      </w:pPr>
      <w:r>
        <w:rPr>
          <w:rFonts w:ascii="Arial" w:cs="Arial" w:eastAsia="Arial" w:hAnsi="Arial"/>
          <w:b/>
          <w:bCs/>
          <w:color w:val="1F3864"/>
          <w:sz w:val="24"/>
          <w:szCs w:val="24"/>
        </w:rPr>
        <w:t xml:space="preserve">4.  Data Model</w:t>
      </w:r>
    </w:p>
    <w:p>
      <w:pPr>
        <w:spacing w:after="80" w:before="80"/>
      </w:pPr>
      <w:r>
        <w:rPr>
          <w:rFonts w:ascii="Arial" w:cs="Arial" w:eastAsia="Arial" w:hAnsi="Arial"/>
          <w:sz w:val="20"/>
          <w:szCs w:val="20"/>
        </w:rPr>
        <w:t xml:space="preserve">The WMS data model consists of three core tables. All tables reside in a SQL database on the AOOSTAR NAS. Ignition connects to the database via SQL Bridge and exposes inventory and lot data as tags in the Unified Namespace.</w:t>
      </w:r>
    </w:p>
    <w:p>
      <w:pPr>
        <w:spacing w:after="80" w:before="220"/>
      </w:pPr>
      <w:r>
        <w:rPr>
          <w:rFonts w:ascii="Arial" w:cs="Arial" w:eastAsia="Arial" w:hAnsi="Arial"/>
          <w:b/>
          <w:bCs/>
          <w:color w:val="1F3864"/>
          <w:sz w:val="22"/>
          <w:szCs w:val="22"/>
        </w:rPr>
        <w:t xml:space="preserve">4.1  Lots Table</w:t>
      </w:r>
    </w:p>
    <w:p>
      <w:pPr>
        <w:spacing w:after="80" w:before="80"/>
      </w:pPr>
      <w:r>
        <w:rPr>
          <w:rFonts w:ascii="Arial" w:cs="Arial" w:eastAsia="Arial" w:hAnsi="Arial"/>
          <w:sz w:val="20"/>
          <w:szCs w:val="20"/>
        </w:rPr>
        <w:t xml:space="preserve">One record per lot. Created at raw material receiving. Current location field updates at each process transition. This is the authoritative record of where every lot is and how much material remains.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6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lot_number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Primary key. Format per Section 3. Immutable after creation.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material_type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Wire specification, alloy, gauge.</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original_qty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Always 10,000 for raw material lots (1 spool = 10,000 parts).</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current_qty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Decrements as parts are consumed. Zero = lot consumed.</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current_location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Area code of current lot location. Updates on each scan.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status</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IN_PROCESS / COMPLETE / CONSUMED / SCRAPPED</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created_at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TIMESTAMP — Lot creation datetime.</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updated_at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TIMESTAMP — Last transaction datetime.</w:t>
            </w:r>
          </w:p>
        </w:tc>
      </w:tr>
    </w:tbl>
    <w:p>
      <w:pPr>
        <w:spacing w:after="80" w:before="220"/>
      </w:pPr>
      <w:r>
        <w:rPr>
          <w:rFonts w:ascii="Arial" w:cs="Arial" w:eastAsia="Arial" w:hAnsi="Arial"/>
          <w:b/>
          <w:bCs/>
          <w:color w:val="1F3864"/>
          <w:sz w:val="22"/>
          <w:szCs w:val="22"/>
        </w:rPr>
        <w:t xml:space="preserve">4.2  Transactions Table</w:t>
      </w:r>
    </w:p>
    <w:p>
      <w:pPr>
        <w:spacing w:after="80" w:before="80"/>
      </w:pPr>
      <w:r>
        <w:rPr>
          <w:rFonts w:ascii="Arial" w:cs="Arial" w:eastAsia="Arial" w:hAnsi="Arial"/>
          <w:sz w:val="20"/>
          <w:szCs w:val="20"/>
        </w:rPr>
        <w:t xml:space="preserve">One record per lot movement or quantity change event. Provides complete audit trail from raw material intake to finished goods or scrap. Never deleted — append only.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6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transaction_id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Auto-increment primary key.</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lot_number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Foreign key to lots table.</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from_location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Area code of origin. NULL for initial receiving transaction.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to_location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Area code of destination.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qty_at_transaction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Lot quantity at time of transaction.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transaction_type</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RECEIVE / TRANSFER / CONSUME / SCRAP / PRODUCE</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triggered_by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System or operator that triggered the event (e.g. NODE-RED-STM, OPERATOR-01).</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transaction_at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TIMESTAMP — Event datetime.</w:t>
            </w:r>
          </w:p>
        </w:tc>
      </w:tr>
    </w:tbl>
    <w:p>
      <w:pPr>
        <w:spacing w:after="80" w:before="220"/>
      </w:pPr>
      <w:r>
        <w:rPr>
          <w:rFonts w:ascii="Arial" w:cs="Arial" w:eastAsia="Arial" w:hAnsi="Arial"/>
          <w:b/>
          <w:bCs/>
          <w:color w:val="1F3864"/>
          <w:sz w:val="22"/>
          <w:szCs w:val="22"/>
        </w:rPr>
        <w:t xml:space="preserve">4.3  Scrap Table</w:t>
      </w:r>
    </w:p>
    <w:p>
      <w:pPr>
        <w:spacing w:after="80" w:before="80"/>
      </w:pPr>
      <w:r>
        <w:rPr>
          <w:rFonts w:ascii="Arial" w:cs="Arial" w:eastAsia="Arial" w:hAnsi="Arial"/>
          <w:sz w:val="20"/>
          <w:szCs w:val="20"/>
        </w:rPr>
        <w:t xml:space="preserve">Records yield loss events at each process stage. Linked to the source lot. Enables scrap rate analysis by area and material type.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69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scrap_id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Auto-increment primary key.</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lot_number</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Foreign key to lots table.</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location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VARCHAR — Area code where scrap occurred.</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qty_scrapped</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INTEGER — Number of parts scrapped in this event.</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reason</w:t>
            </w:r>
          </w:p>
        </w:tc>
        <w:tc>
          <w:tcPr>
            <w:tcW w:type="dxa" w:w="69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DIMENSIONAL / SURFACE / UNKNOWN</w:t>
            </w:r>
          </w:p>
        </w:tc>
      </w:tr>
      <w:tr>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8"/>
                <w:szCs w:val="18"/>
              </w:rPr>
              <w:t xml:space="preserve">scrapped_at</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TIMESTAMP — Event datetime.</w:t>
            </w:r>
          </w:p>
        </w:tc>
      </w:tr>
    </w:tbl>
    <w:p>
      <w:pPr>
        <w:pBdr>
          <w:bottom w:val="single" w:color="1F3864" w:sz="6" w:space="1"/>
        </w:pBdr>
        <w:spacing w:after="120" w:before="320"/>
      </w:pPr>
      <w:r>
        <w:rPr>
          <w:rFonts w:ascii="Arial" w:cs="Arial" w:eastAsia="Arial" w:hAnsi="Arial"/>
          <w:b/>
          <w:bCs/>
          <w:color w:val="1F3864"/>
          <w:sz w:val="24"/>
          <w:szCs w:val="24"/>
        </w:rPr>
        <w:t xml:space="preserve">5.  Simulation Logic</w:t>
      </w:r>
    </w:p>
    <w:p>
      <w:pPr>
        <w:spacing w:after="80" w:before="220"/>
      </w:pPr>
      <w:r>
        <w:rPr>
          <w:rFonts w:ascii="Arial" w:cs="Arial" w:eastAsia="Arial" w:hAnsi="Arial"/>
          <w:b/>
          <w:bCs/>
          <w:color w:val="1F3864"/>
          <w:sz w:val="22"/>
          <w:szCs w:val="22"/>
        </w:rPr>
        <w:t xml:space="preserve">5.1  Unit of Measure</w:t>
      </w:r>
    </w:p>
    <w:p>
      <w:pPr>
        <w:spacing w:after="80" w:before="80"/>
      </w:pPr>
      <w:r>
        <w:rPr>
          <w:rFonts w:ascii="Arial" w:cs="Arial" w:eastAsia="Arial" w:hAnsi="Arial"/>
          <w:sz w:val="20"/>
          <w:szCs w:val="20"/>
        </w:rPr>
        <w:t xml:space="preserve">All inventory quantities are tracked in parts. One raw material wire spool equals 10,000 parts. This is the base unit throughout the system — from raw material intake through finished goods. No unit conversion is required at any stage.</w:t>
      </w:r>
    </w:p>
    <w:p>
      <w:pPr>
        <w:spacing w:after="80" w:before="220"/>
      </w:pPr>
      <w:r>
        <w:rPr>
          <w:rFonts w:ascii="Arial" w:cs="Arial" w:eastAsia="Arial" w:hAnsi="Arial"/>
          <w:b/>
          <w:bCs/>
          <w:color w:val="1F3864"/>
          <w:sz w:val="22"/>
          <w:szCs w:val="22"/>
        </w:rPr>
        <w:t xml:space="preserve">5.2  Production Rate &amp; Consumption</w:t>
      </w:r>
    </w:p>
    <w:p>
      <w:pPr>
        <w:spacing w:after="80" w:before="80"/>
      </w:pPr>
      <w:r>
        <w:rPr>
          <w:rFonts w:ascii="Arial" w:cs="Arial" w:eastAsia="Arial" w:hAnsi="Arial"/>
          <w:sz w:val="20"/>
          <w:szCs w:val="20"/>
        </w:rPr>
        <w:t xml:space="preserve">PLC cycle count data published via MQTT to the broker drives lot consumption. Each stamping press cycle decrements the current lot quantity by one part. Node-RED subscribes to the press cycle count tag in Ignition and writes a transaction record on each increment. Yield loss at inspection is recorded as a scrap transaction, reducing the lot quantity accordingly.</w:t>
      </w:r>
    </w:p>
    <w:p>
      <w:pPr>
        <w:spacing w:after="80" w:before="220"/>
      </w:pPr>
      <w:r>
        <w:rPr>
          <w:rFonts w:ascii="Arial" w:cs="Arial" w:eastAsia="Arial" w:hAnsi="Arial"/>
          <w:b/>
          <w:bCs/>
          <w:color w:val="1F3864"/>
          <w:sz w:val="22"/>
          <w:szCs w:val="22"/>
        </w:rPr>
        <w:t xml:space="preserve">5.3  Variance Model</w:t>
      </w:r>
    </w:p>
    <w:p>
      <w:pPr>
        <w:spacing w:after="80" w:before="80"/>
      </w:pPr>
      <w:r>
        <w:rPr>
          <w:rFonts w:ascii="Arial" w:cs="Arial" w:eastAsia="Arial" w:hAnsi="Arial"/>
          <w:sz w:val="20"/>
          <w:szCs w:val="20"/>
        </w:rPr>
        <w:t xml:space="preserve">A small random variance factor is applied to the simulated production rate to prevent perfectly linear inventory movement. Each Node-RED execution cycle applies a ±5% variance to the parts-per-minute rate. This produces realistic inventory curves — gradual consumption with natural fluctuation — rather than a predictable countdown.</w:t>
      </w:r>
    </w:p>
    <w:p>
      <w:pPr>
        <w:spacing w:after="80" w:before="220"/>
      </w:pPr>
      <w:r>
        <w:rPr>
          <w:rFonts w:ascii="Arial" w:cs="Arial" w:eastAsia="Arial" w:hAnsi="Arial"/>
          <w:b/>
          <w:bCs/>
          <w:color w:val="1F3864"/>
          <w:sz w:val="22"/>
          <w:szCs w:val="22"/>
        </w:rPr>
        <w:t xml:space="preserve">5.4  Inter-Site Transfer</w:t>
      </w:r>
    </w:p>
    <w:p>
      <w:pPr>
        <w:spacing w:after="80" w:before="80"/>
      </w:pPr>
      <w:r>
        <w:rPr>
          <w:rFonts w:ascii="Arial" w:cs="Arial" w:eastAsia="Arial" w:hAnsi="Arial"/>
          <w:sz w:val="20"/>
          <w:szCs w:val="20"/>
        </w:rPr>
        <w:t xml:space="preserve">When a lot completes the bulk packaging stage at Site 1, a transfer transaction is generated. The lot status updates to COMPLETE at Site 1 and a new receiving transaction is created at Site 2 with location RCV2. The lot number does not change across the transfer — the same lot is traceable from raw wire intake at Site 1 to finished goods at Site 2 through the transaction history.</w:t>
      </w:r>
    </w:p>
    <w:p>
      <w:pPr>
        <w:spacing w:after="80" w:before="220"/>
      </w:pPr>
      <w:r>
        <w:rPr>
          <w:rFonts w:ascii="Arial" w:cs="Arial" w:eastAsia="Arial" w:hAnsi="Arial"/>
          <w:b/>
          <w:bCs/>
          <w:color w:val="1F3864"/>
          <w:sz w:val="22"/>
          <w:szCs w:val="22"/>
        </w:rPr>
        <w:t xml:space="preserve">5.5  Finished Goods</w:t>
      </w:r>
    </w:p>
    <w:p>
      <w:pPr>
        <w:spacing w:after="80" w:before="80"/>
      </w:pPr>
      <w:r>
        <w:rPr>
          <w:rFonts w:ascii="Arial" w:cs="Arial" w:eastAsia="Arial" w:hAnsi="Arial"/>
          <w:sz w:val="20"/>
          <w:szCs w:val="20"/>
        </w:rPr>
        <w:t xml:space="preserve">A finished goods lot record is generated at BPK when parts complete the production sequence. The finished goods lot number follows the same format with BPK as the area code. Finished goods lots are transferred to Site 2 warehousing (WHS2) and decrement as outbound shipments are recorded.</w:t>
      </w:r>
    </w:p>
    <w:p>
      <w:pPr>
        <w:pBdr>
          <w:bottom w:val="single" w:color="1F3864" w:sz="6" w:space="1"/>
        </w:pBdr>
        <w:spacing w:after="120" w:before="320"/>
      </w:pPr>
      <w:r>
        <w:rPr>
          <w:rFonts w:ascii="Arial" w:cs="Arial" w:eastAsia="Arial" w:hAnsi="Arial"/>
          <w:b/>
          <w:bCs/>
          <w:color w:val="1F3864"/>
          <w:sz w:val="24"/>
          <w:szCs w:val="24"/>
        </w:rPr>
        <w:t xml:space="preserve">6.  Integration Architecture</w:t>
      </w:r>
    </w:p>
    <w:p>
      <w:pPr>
        <w:spacing w:after="80" w:before="80"/>
      </w:pPr>
      <w:r>
        <w:rPr>
          <w:rFonts w:ascii="Arial" w:cs="Arial" w:eastAsia="Arial" w:hAnsi="Arial"/>
          <w:sz w:val="20"/>
          <w:szCs w:val="20"/>
        </w:rPr>
        <w:t xml:space="preserve">The WMS database integrates with the broader IIoT stack through three connection points.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Integration Path</w:t>
            </w:r>
          </w:p>
        </w:tc>
        <w:tc>
          <w:tcPr>
            <w:tcW w:type="dxa" w:w="6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PLC → Broker → Ignition</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Press cycle counts and process completion signals flow via Sparkplug B MQTT from PLCs through the broker into Ignition tags. These tags are the trigger source for lot consumption and transfer events.</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Node-RED → SQL Database</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Node-RED on the AOOSTAR NAS subscribes to Ignition tags via REST API, calculates lot consumption based on cycle counts and variance model, and writes transaction records to the SQL database.</w:t>
            </w:r>
          </w:p>
        </w:tc>
      </w:tr>
      <w:tr>
        <w:tc>
          <w:tcPr>
            <w:tcW w:type="dxa" w:w="3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Ignition SQL Bridge → Tag Database</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Ignition SQL Bridge reads the lots and transactions tables and exposes current inventory levels, lot locations, and scrap rates as Ignition tags. These tags are available in the UNS and visible in Perspective dashboards.</w:t>
            </w:r>
          </w:p>
        </w:tc>
      </w:tr>
    </w:tbl>
    <w:p>
      <w:pPr>
        <w:spacing w:after="80" w:before="220"/>
      </w:pPr>
      <w:r>
        <w:rPr>
          <w:rFonts w:ascii="Arial" w:cs="Arial" w:eastAsia="Arial" w:hAnsi="Arial"/>
          <w:b/>
          <w:bCs/>
          <w:color w:val="1F3864"/>
          <w:sz w:val="22"/>
          <w:szCs w:val="22"/>
        </w:rPr>
        <w:t xml:space="preserve">6.1  MaintainX Integration</w:t>
      </w:r>
    </w:p>
    <w:p>
      <w:pPr>
        <w:spacing w:after="80" w:before="80"/>
      </w:pPr>
      <w:r>
        <w:rPr>
          <w:rFonts w:ascii="Arial" w:cs="Arial" w:eastAsia="Arial" w:hAnsi="Arial"/>
          <w:sz w:val="20"/>
          <w:szCs w:val="20"/>
        </w:rPr>
        <w:t xml:space="preserve">MaintainX tracks the physical assets involved in the production process — the machines, conveyors, and equipment that handle the lots. It does not track lot inventory directly. The connection between MaintainX and the WMS is through asset-based maintenance triggers: when a machine accumulates a defined number of production cycles (derived from the transaction table), MaintainX receives an API call to generate a preventive maintenance work order. This is the Phase 5 predictive maintenance integration defined in the CMMS Integration Strategy document.</w:t>
      </w:r>
    </w:p>
    <w:p>
      <w:pPr>
        <w:pBdr>
          <w:bottom w:val="single" w:color="1F3864" w:sz="6" w:space="1"/>
        </w:pBdr>
        <w:spacing w:after="120" w:before="320"/>
      </w:pPr>
      <w:r>
        <w:rPr>
          <w:rFonts w:ascii="Arial" w:cs="Arial" w:eastAsia="Arial" w:hAnsi="Arial"/>
          <w:b/>
          <w:bCs/>
          <w:color w:val="1F3864"/>
          <w:sz w:val="24"/>
          <w:szCs w:val="24"/>
        </w:rPr>
        <w:t xml:space="preserve">7.  Manufacturing Integration Context</w:t>
      </w:r>
    </w:p>
    <w:p>
      <w:pPr>
        <w:spacing w:after="80" w:before="80"/>
      </w:pPr>
      <w:r>
        <w:rPr>
          <w:rFonts w:ascii="Arial" w:cs="Arial" w:eastAsia="Arial" w:hAnsi="Arial"/>
          <w:sz w:val="20"/>
          <w:szCs w:val="20"/>
        </w:rPr>
        <w:t xml:space="preserve">The WMS layer described in this document represents one of the most common and highest-value integration targets in manufacturing modernization work. Legacy manufacturers that have operated for decades typically have one or more of the following conditions:</w:t>
      </w:r>
    </w:p>
    <w:p>
      <w:pPr>
        <w:pStyle w:val="ListParagraph"/>
        <w:numPr>
          <w:ilvl w:val="0"/>
          <w:numId w:val="2"/>
        </w:numPr>
        <w:spacing w:after="40" w:before="40"/>
      </w:pPr>
      <w:r>
        <w:rPr>
          <w:rFonts w:ascii="Arial" w:cs="Arial" w:eastAsia="Arial" w:hAnsi="Arial"/>
          <w:sz w:val="20"/>
          <w:szCs w:val="20"/>
        </w:rPr>
        <w:t xml:space="preserve">A standalone WMS or ERP inventory module that receives no real-time data from the plant floor — inventory is updated manually at shift end or by warehouse staff scanning bins.</w:t>
      </w:r>
    </w:p>
    <w:p>
      <w:pPr>
        <w:pStyle w:val="ListParagraph"/>
        <w:numPr>
          <w:ilvl w:val="0"/>
          <w:numId w:val="2"/>
        </w:numPr>
        <w:spacing w:after="40" w:before="40"/>
      </w:pPr>
      <w:r>
        <w:rPr>
          <w:rFonts w:ascii="Arial" w:cs="Arial" w:eastAsia="Arial" w:hAnsi="Arial"/>
          <w:sz w:val="20"/>
          <w:szCs w:val="20"/>
        </w:rPr>
        <w:t xml:space="preserve">Paper-based lot tracking with no digital trail — traceability audits require physical record searches and are highly error-prone.</w:t>
      </w:r>
    </w:p>
    <w:p>
      <w:pPr>
        <w:pStyle w:val="ListParagraph"/>
        <w:numPr>
          <w:ilvl w:val="0"/>
          <w:numId w:val="2"/>
        </w:numPr>
        <w:spacing w:after="40" w:before="40"/>
      </w:pPr>
      <w:r>
        <w:rPr>
          <w:rFonts w:ascii="Arial" w:cs="Arial" w:eastAsia="Arial" w:hAnsi="Arial"/>
          <w:sz w:val="20"/>
          <w:szCs w:val="20"/>
        </w:rPr>
        <w:t xml:space="preserve">Production data locked inside PLCs with no path to the systems that need it — maintenance, quality, scheduling, and inventory all operating on delayed or inaccurate information.</w:t>
      </w:r>
    </w:p>
    <w:p>
      <w:pPr>
        <w:spacing w:after="0" w:before="100"/>
      </w:pPr>
    </w:p>
    <w:p>
      <w:pPr>
        <w:spacing w:after="80" w:before="80"/>
      </w:pPr>
      <w:r>
        <w:rPr>
          <w:rFonts w:ascii="Arial" w:cs="Arial" w:eastAsia="Arial" w:hAnsi="Arial"/>
          <w:sz w:val="20"/>
          <w:szCs w:val="20"/>
        </w:rPr>
        <w:t xml:space="preserve">Connecting the control layer to the inventory and traceability layer — the exact integration this document describes — eliminates all three of these conditions simultaneously. Real-time lot location, automatic inventory updates from PLC cycle counts, and full transaction history are the direct outputs of the architecture defined here.</w:t>
      </w:r>
    </w:p>
    <w:p>
      <w:pPr>
        <w:spacing w:after="80" w:before="80"/>
      </w:pPr>
      <w:r>
        <w:rPr>
          <w:rFonts w:ascii="Arial" w:cs="Arial" w:eastAsia="Arial" w:hAnsi="Arial"/>
          <w:sz w:val="20"/>
          <w:szCs w:val="20"/>
        </w:rPr>
        <w:t xml:space="preserve">For a Senior Automation Technician working on manufacturing integration, the ability to design this layer, document it clearly, and explain how it connects to the broader IIoT stack is a commercially valuable competency. The Loogootee simulation demonstrates that design capability even without a running implementation.</w:t>
      </w:r>
    </w:p>
    <w:p>
      <w:pPr>
        <w:spacing w:before="400"/>
        <w:jc w:val="center"/>
      </w:pPr>
      <w:r>
        <w:rPr>
          <w:rFonts w:ascii="Arial" w:cs="Arial" w:eastAsia="Arial" w:hAnsi="Arial"/>
          <w:i/>
          <w:iCs/>
          <w:color w:val="666666"/>
          <w:sz w:val="18"/>
          <w:szCs w:val="18"/>
        </w:rPr>
        <w:t xml:space="preserve">Loogootee Manufacturing Training Rack  ·  WMS &amp; Lot Traceability Architecture  ·  Rev 0.1  ·  April 4,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2026-04-15T12:51:38.791Z</dcterms:created>
  <dcterms:modified xsi:type="dcterms:W3CDTF">2026-04-15T12:51:38.792Z</dcterms:modified>
</cp:coreProperties>
</file>

<file path=docProps/custom.xml><?xml version="1.0" encoding="utf-8"?>
<Properties xmlns="http://schemas.openxmlformats.org/officeDocument/2006/custom-properties" xmlns:vt="http://schemas.openxmlformats.org/officeDocument/2006/docPropsVTypes"/>
</file>