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60C2" w14:textId="1B30E66B" w:rsidR="00222855" w:rsidRDefault="00B051A9">
      <w:pPr>
        <w:spacing w:after="140" w:line="259" w:lineRule="auto"/>
        <w:ind w:left="0" w:firstLine="0"/>
        <w:jc w:val="center"/>
        <w:rPr>
          <w:b/>
          <w:u w:val="single" w:color="000000"/>
        </w:rPr>
      </w:pPr>
      <w:r>
        <w:rPr>
          <w:noProof/>
        </w:rPr>
        <w:drawing>
          <wp:inline distT="0" distB="0" distL="0" distR="0" wp14:anchorId="4E26A7C0" wp14:editId="07DAAD4C">
            <wp:extent cx="711835" cy="791171"/>
            <wp:effectExtent l="0" t="0" r="0" b="0"/>
            <wp:docPr id="210436788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67885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37" cy="82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E54C" w14:textId="1E199636" w:rsidR="00C87EFB" w:rsidRPr="00222855" w:rsidRDefault="00000000">
      <w:pPr>
        <w:spacing w:after="140" w:line="259" w:lineRule="auto"/>
        <w:ind w:left="0" w:firstLine="0"/>
        <w:jc w:val="center"/>
        <w:rPr>
          <w:sz w:val="18"/>
          <w:szCs w:val="18"/>
        </w:rPr>
      </w:pPr>
      <w:r w:rsidRPr="00222855">
        <w:rPr>
          <w:b/>
          <w:sz w:val="18"/>
          <w:szCs w:val="18"/>
          <w:u w:val="single" w:color="000000"/>
        </w:rPr>
        <w:t>CARBOXITERAPIA</w:t>
      </w:r>
    </w:p>
    <w:p w14:paraId="494B87C6" w14:textId="77777777" w:rsidR="00C87EFB" w:rsidRDefault="00000000">
      <w:pPr>
        <w:spacing w:after="148"/>
      </w:pPr>
      <w:r>
        <w:t>Procedimiento realizado a través de inyección de gas carbónico con fines terapéuticos.</w:t>
      </w:r>
    </w:p>
    <w:p w14:paraId="71A497CF" w14:textId="77777777" w:rsidR="00C87EFB" w:rsidRDefault="00000000">
      <w:pPr>
        <w:spacing w:after="154" w:line="259" w:lineRule="auto"/>
        <w:ind w:left="-5"/>
      </w:pPr>
      <w:r>
        <w:rPr>
          <w:b/>
        </w:rPr>
        <w:t xml:space="preserve">Mecanismo de acción: </w:t>
      </w:r>
    </w:p>
    <w:p w14:paraId="5260DB15" w14:textId="77777777" w:rsidR="00C87EFB" w:rsidRDefault="00000000">
      <w:pPr>
        <w:numPr>
          <w:ilvl w:val="0"/>
          <w:numId w:val="1"/>
        </w:numPr>
        <w:ind w:hanging="360"/>
      </w:pPr>
      <w:r>
        <w:t>Vasodilatación arterial: aumento de diámetro basal, aumento de flujo sanguíneo e hiperemia (Efecto inmediato).</w:t>
      </w:r>
    </w:p>
    <w:p w14:paraId="68C18A45" w14:textId="77777777" w:rsidR="00C87EFB" w:rsidRDefault="00000000">
      <w:pPr>
        <w:numPr>
          <w:ilvl w:val="0"/>
          <w:numId w:val="1"/>
        </w:numPr>
        <w:ind w:hanging="360"/>
      </w:pPr>
      <w:r>
        <w:t>Angiogénesis: efecto tardío (10 a 12 sesiones).</w:t>
      </w:r>
    </w:p>
    <w:p w14:paraId="63E26A82" w14:textId="77777777" w:rsidR="00C87EFB" w:rsidRDefault="00000000">
      <w:pPr>
        <w:numPr>
          <w:ilvl w:val="0"/>
          <w:numId w:val="1"/>
        </w:numPr>
        <w:ind w:hanging="360"/>
      </w:pPr>
      <w:r>
        <w:t>Potenciación de efeto Bohr: Aumenta intercambio O2-CO2 por la hemoglobina al interior del eritrocito.</w:t>
      </w:r>
    </w:p>
    <w:p w14:paraId="001CD738" w14:textId="77777777" w:rsidR="00C87EFB" w:rsidRDefault="00000000">
      <w:pPr>
        <w:numPr>
          <w:ilvl w:val="0"/>
          <w:numId w:val="1"/>
        </w:numPr>
        <w:spacing w:after="13" w:line="240" w:lineRule="auto"/>
        <w:ind w:hanging="360"/>
      </w:pPr>
      <w:r>
        <w:t xml:space="preserve">Estimulación de receptores B3 adrenérgicos: Aumento de </w:t>
      </w:r>
      <w:proofErr w:type="spellStart"/>
      <w:r>
        <w:t>adenilatociclasa</w:t>
      </w:r>
      <w:proofErr w:type="spellEnd"/>
      <w:r>
        <w:t xml:space="preserve">, aumento de </w:t>
      </w:r>
      <w:proofErr w:type="spellStart"/>
      <w:r>
        <w:t>AmpC</w:t>
      </w:r>
      <w:proofErr w:type="spellEnd"/>
      <w:r>
        <w:t xml:space="preserve">, aumento de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kinasa</w:t>
      </w:r>
      <w:proofErr w:type="spellEnd"/>
      <w:r>
        <w:t xml:space="preserve"> (pKa) que estimula LHS (hormona lipasa sensible) lo que traduce en lipolisis de adipocitos.</w:t>
      </w:r>
    </w:p>
    <w:p w14:paraId="6D793896" w14:textId="77777777" w:rsidR="00C87EFB" w:rsidRDefault="00000000">
      <w:pPr>
        <w:numPr>
          <w:ilvl w:val="0"/>
          <w:numId w:val="1"/>
        </w:numPr>
        <w:spacing w:after="152"/>
        <w:ind w:hanging="360"/>
      </w:pPr>
      <w:r>
        <w:t xml:space="preserve">Aumento de recambio 1:1 de 02-CO2 (entre más CO2 como producto de desecho más O2 como producto incremental. </w:t>
      </w:r>
    </w:p>
    <w:p w14:paraId="5E7CCA01" w14:textId="77777777" w:rsidR="00C87EFB" w:rsidRDefault="00000000">
      <w:pPr>
        <w:spacing w:after="154" w:line="259" w:lineRule="auto"/>
        <w:ind w:left="-5"/>
      </w:pPr>
      <w:r>
        <w:rPr>
          <w:b/>
        </w:rPr>
        <w:t>Indicaciones:</w:t>
      </w:r>
    </w:p>
    <w:p w14:paraId="745E65CC" w14:textId="77777777" w:rsidR="00C87EFB" w:rsidRDefault="00000000">
      <w:pPr>
        <w:numPr>
          <w:ilvl w:val="0"/>
          <w:numId w:val="1"/>
        </w:numPr>
        <w:spacing w:after="249"/>
        <w:ind w:hanging="360"/>
      </w:pPr>
      <w:r>
        <w:t xml:space="preserve">Medicas: insuficiencia venosa, ulceras en miembros inferiores, </w:t>
      </w:r>
      <w:proofErr w:type="spellStart"/>
      <w:r>
        <w:t>lipomatosis</w:t>
      </w:r>
      <w:proofErr w:type="spellEnd"/>
      <w:r>
        <w:t xml:space="preserve"> múltiple simétrica, psoriasis, artritis, disfunción eréctil, entre otras.</w:t>
      </w:r>
    </w:p>
    <w:p w14:paraId="6474305A" w14:textId="77777777" w:rsidR="00C87EFB" w:rsidRDefault="00000000">
      <w:pPr>
        <w:numPr>
          <w:ilvl w:val="0"/>
          <w:numId w:val="1"/>
        </w:numPr>
        <w:spacing w:after="242"/>
        <w:ind w:hanging="360"/>
      </w:pPr>
      <w:r>
        <w:t>Estéticas:</w:t>
      </w:r>
    </w:p>
    <w:p w14:paraId="586FE69A" w14:textId="77777777" w:rsidR="00C87EFB" w:rsidRDefault="00000000">
      <w:pPr>
        <w:numPr>
          <w:ilvl w:val="1"/>
          <w:numId w:val="1"/>
        </w:numPr>
        <w:ind w:hanging="360"/>
      </w:pPr>
      <w:r>
        <w:t xml:space="preserve">PEFE – </w:t>
      </w:r>
      <w:proofErr w:type="spellStart"/>
      <w:r>
        <w:t>Paniculopatia</w:t>
      </w:r>
      <w:proofErr w:type="spellEnd"/>
      <w:r>
        <w:t xml:space="preserve"> </w:t>
      </w:r>
      <w:proofErr w:type="spellStart"/>
      <w:r>
        <w:t>edemato</w:t>
      </w:r>
      <w:proofErr w:type="spellEnd"/>
      <w:r>
        <w:t xml:space="preserve"> </w:t>
      </w:r>
      <w:proofErr w:type="spellStart"/>
      <w:r>
        <w:t>fibro</w:t>
      </w:r>
      <w:proofErr w:type="spellEnd"/>
      <w:r>
        <w:t xml:space="preserve"> esclerótica (celulitis): Aumento de oxigenación, aumento de irrigación, disminución de acumulo intersticial.</w:t>
      </w:r>
    </w:p>
    <w:p w14:paraId="57EE9017" w14:textId="77777777" w:rsidR="00C87EFB" w:rsidRDefault="00000000">
      <w:pPr>
        <w:numPr>
          <w:ilvl w:val="1"/>
          <w:numId w:val="1"/>
        </w:numPr>
        <w:ind w:hanging="360"/>
      </w:pPr>
      <w:r>
        <w:t>Estrías/flacidez, aumento de la estimulación de fibroblastos, aumento de colágeno y del grosor dérmico.</w:t>
      </w:r>
    </w:p>
    <w:p w14:paraId="761A9CA4" w14:textId="77777777" w:rsidR="00C87EFB" w:rsidRDefault="00000000">
      <w:pPr>
        <w:numPr>
          <w:ilvl w:val="1"/>
          <w:numId w:val="1"/>
        </w:numPr>
        <w:ind w:hanging="360"/>
      </w:pPr>
      <w:r>
        <w:t>Grasa localizada</w:t>
      </w:r>
    </w:p>
    <w:p w14:paraId="75F83B0F" w14:textId="77777777" w:rsidR="00C87EFB" w:rsidRDefault="00000000">
      <w:pPr>
        <w:numPr>
          <w:ilvl w:val="1"/>
          <w:numId w:val="1"/>
        </w:numPr>
        <w:ind w:hanging="360"/>
      </w:pPr>
      <w:r>
        <w:t>Alopecia</w:t>
      </w:r>
    </w:p>
    <w:p w14:paraId="4EFE957A" w14:textId="77777777" w:rsidR="00C87EFB" w:rsidRDefault="00000000">
      <w:pPr>
        <w:numPr>
          <w:ilvl w:val="1"/>
          <w:numId w:val="1"/>
        </w:numPr>
        <w:spacing w:after="122"/>
        <w:ind w:hanging="360"/>
      </w:pPr>
      <w:r>
        <w:t>Pre y posquirúrgico</w:t>
      </w:r>
    </w:p>
    <w:p w14:paraId="17B939DF" w14:textId="77777777" w:rsidR="00C87EFB" w:rsidRDefault="00000000">
      <w:pPr>
        <w:spacing w:after="154" w:line="259" w:lineRule="auto"/>
        <w:ind w:left="-5"/>
      </w:pPr>
      <w:r>
        <w:rPr>
          <w:b/>
        </w:rPr>
        <w:t>Contraindicaciones:</w:t>
      </w:r>
    </w:p>
    <w:p w14:paraId="37EDDD9B" w14:textId="77777777" w:rsidR="00C87EFB" w:rsidRDefault="00000000">
      <w:pPr>
        <w:numPr>
          <w:ilvl w:val="0"/>
          <w:numId w:val="1"/>
        </w:numPr>
        <w:ind w:hanging="360"/>
      </w:pPr>
      <w:r>
        <w:t>Hipertensión arterial severa</w:t>
      </w:r>
    </w:p>
    <w:p w14:paraId="3B5B42A0" w14:textId="77777777" w:rsidR="00C87EFB" w:rsidRDefault="00000000">
      <w:pPr>
        <w:numPr>
          <w:ilvl w:val="0"/>
          <w:numId w:val="1"/>
        </w:numPr>
        <w:ind w:hanging="360"/>
      </w:pPr>
      <w:r>
        <w:t>EPOC.</w:t>
      </w:r>
    </w:p>
    <w:p w14:paraId="3717BA42" w14:textId="77777777" w:rsidR="00C87EFB" w:rsidRDefault="00000000">
      <w:pPr>
        <w:numPr>
          <w:ilvl w:val="0"/>
          <w:numId w:val="1"/>
        </w:numPr>
        <w:ind w:hanging="360"/>
      </w:pPr>
      <w:r>
        <w:t>Embarazo</w:t>
      </w:r>
    </w:p>
    <w:p w14:paraId="2451506B" w14:textId="77777777" w:rsidR="00C87EFB" w:rsidRDefault="00000000">
      <w:pPr>
        <w:numPr>
          <w:ilvl w:val="0"/>
          <w:numId w:val="1"/>
        </w:numPr>
        <w:ind w:hanging="360"/>
      </w:pPr>
      <w:r>
        <w:t>Insuficiencia renal</w:t>
      </w:r>
    </w:p>
    <w:p w14:paraId="5E86D590" w14:textId="77777777" w:rsidR="00C87EFB" w:rsidRDefault="00000000">
      <w:pPr>
        <w:numPr>
          <w:ilvl w:val="0"/>
          <w:numId w:val="1"/>
        </w:numPr>
        <w:ind w:hanging="360"/>
      </w:pPr>
      <w:r>
        <w:t>Insuficiencia hepática</w:t>
      </w:r>
    </w:p>
    <w:p w14:paraId="75BBD418" w14:textId="77777777" w:rsidR="00C87EFB" w:rsidRDefault="00000000">
      <w:pPr>
        <w:numPr>
          <w:ilvl w:val="0"/>
          <w:numId w:val="1"/>
        </w:numPr>
        <w:spacing w:after="148"/>
        <w:ind w:hanging="360"/>
      </w:pPr>
      <w:r>
        <w:t>Expectativas irreales</w:t>
      </w:r>
    </w:p>
    <w:p w14:paraId="41C4944E" w14:textId="77777777" w:rsidR="00C87EFB" w:rsidRDefault="00000000">
      <w:pPr>
        <w:spacing w:after="154" w:line="259" w:lineRule="auto"/>
        <w:ind w:left="-5"/>
      </w:pPr>
      <w:r>
        <w:rPr>
          <w:b/>
        </w:rPr>
        <w:t>Prospecto de seguridad</w:t>
      </w:r>
      <w:r>
        <w:t>:</w:t>
      </w:r>
    </w:p>
    <w:p w14:paraId="2D7A4A48" w14:textId="77777777" w:rsidR="00C87EFB" w:rsidRDefault="00000000">
      <w:pPr>
        <w:numPr>
          <w:ilvl w:val="0"/>
          <w:numId w:val="1"/>
        </w:numPr>
        <w:ind w:hanging="360"/>
      </w:pPr>
      <w:r>
        <w:t>Dosis fisiológicas basales de expiración de CO2: 200ml/min</w:t>
      </w:r>
    </w:p>
    <w:p w14:paraId="47806CBF" w14:textId="77777777" w:rsidR="00C87EFB" w:rsidRDefault="00000000">
      <w:pPr>
        <w:numPr>
          <w:ilvl w:val="0"/>
          <w:numId w:val="1"/>
        </w:numPr>
        <w:spacing w:after="148"/>
        <w:ind w:hanging="360"/>
      </w:pPr>
      <w:r>
        <w:t>Dosis fisiológicas en ejercicio: más de 2000ml/min</w:t>
      </w:r>
    </w:p>
    <w:p w14:paraId="24D8A4E5" w14:textId="77777777" w:rsidR="00C87EFB" w:rsidRDefault="00000000">
      <w:pPr>
        <w:spacing w:after="154" w:line="259" w:lineRule="auto"/>
        <w:ind w:left="-5"/>
      </w:pPr>
      <w:r>
        <w:rPr>
          <w:b/>
        </w:rPr>
        <w:t>Efectos adversos:</w:t>
      </w:r>
    </w:p>
    <w:p w14:paraId="263A9FF0" w14:textId="77777777" w:rsidR="00C87EFB" w:rsidRDefault="00000000">
      <w:pPr>
        <w:numPr>
          <w:ilvl w:val="0"/>
          <w:numId w:val="1"/>
        </w:numPr>
        <w:spacing w:after="150"/>
        <w:ind w:hanging="360"/>
      </w:pPr>
      <w:r>
        <w:t>Dolor, que aumenta por flujos altos y despegamiento epidérmico (flujo ideal menos a 50ml) -</w:t>
      </w:r>
      <w:r>
        <w:tab/>
        <w:t>Aumento de temperatura. -</w:t>
      </w:r>
      <w:r>
        <w:tab/>
        <w:t>Hematomas de origen mecánico -</w:t>
      </w:r>
      <w:r>
        <w:tab/>
        <w:t>Enfisema subcutáneo.</w:t>
      </w:r>
    </w:p>
    <w:p w14:paraId="32167D40" w14:textId="77777777" w:rsidR="00C87EFB" w:rsidRDefault="00000000">
      <w:pPr>
        <w:spacing w:after="154" w:line="259" w:lineRule="auto"/>
        <w:ind w:left="370"/>
      </w:pPr>
      <w:r>
        <w:rPr>
          <w:b/>
        </w:rPr>
        <w:t>Protocolo:</w:t>
      </w:r>
    </w:p>
    <w:p w14:paraId="23CFC988" w14:textId="77777777" w:rsidR="00C87EFB" w:rsidRDefault="00000000">
      <w:pPr>
        <w:numPr>
          <w:ilvl w:val="0"/>
          <w:numId w:val="1"/>
        </w:numPr>
        <w:ind w:hanging="360"/>
      </w:pPr>
      <w:r>
        <w:t>Temporalidad: 10-12 sesiones (1,2 o 3 por semana).</w:t>
      </w:r>
    </w:p>
    <w:p w14:paraId="7573329B" w14:textId="77777777" w:rsidR="00C87EFB" w:rsidRDefault="00000000">
      <w:pPr>
        <w:numPr>
          <w:ilvl w:val="0"/>
          <w:numId w:val="1"/>
        </w:numPr>
        <w:ind w:hanging="360"/>
      </w:pPr>
      <w:r>
        <w:t>Volumen</w:t>
      </w:r>
    </w:p>
    <w:p w14:paraId="2E99D4B6" w14:textId="77777777" w:rsidR="00C87EFB" w:rsidRDefault="00C87EFB" w:rsidP="00B051A9">
      <w:pPr>
        <w:ind w:left="0" w:firstLine="0"/>
        <w:sectPr w:rsidR="00C87EFB">
          <w:pgSz w:w="11900" w:h="16820"/>
          <w:pgMar w:top="1440" w:right="1695" w:bottom="1440" w:left="1134" w:header="720" w:footer="720" w:gutter="0"/>
          <w:cols w:space="720"/>
        </w:sectPr>
      </w:pPr>
    </w:p>
    <w:p w14:paraId="5E8226CD" w14:textId="77777777" w:rsidR="00C87EFB" w:rsidRDefault="00C87EFB">
      <w:pPr>
        <w:spacing w:after="0" w:line="259" w:lineRule="auto"/>
        <w:ind w:left="0" w:firstLine="0"/>
      </w:pPr>
    </w:p>
    <w:sectPr w:rsidR="00C87EFB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80862"/>
    <w:multiLevelType w:val="hybridMultilevel"/>
    <w:tmpl w:val="83585788"/>
    <w:lvl w:ilvl="0" w:tplc="4F58427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A6C3C">
      <w:start w:val="1"/>
      <w:numFmt w:val="bullet"/>
      <w:lvlText w:val="•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30601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961E1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48B36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3CA96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FEFE6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1AC15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A0222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994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EFB"/>
    <w:rsid w:val="00222855"/>
    <w:rsid w:val="006E4B8C"/>
    <w:rsid w:val="00976AD7"/>
    <w:rsid w:val="00B051A9"/>
    <w:rsid w:val="00C87EFB"/>
    <w:rsid w:val="00F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B34BE"/>
  <w15:docId w15:val="{AB167448-4998-4861-AE47-31B1E838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260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cp:lastModifiedBy>Aesthetic Madrid</cp:lastModifiedBy>
  <cp:revision>5</cp:revision>
  <dcterms:created xsi:type="dcterms:W3CDTF">2025-12-16T17:11:00Z</dcterms:created>
  <dcterms:modified xsi:type="dcterms:W3CDTF">2025-12-26T12:10:00Z</dcterms:modified>
</cp:coreProperties>
</file>