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2AED3" w14:textId="77777777" w:rsidR="00F703B2" w:rsidRDefault="00DF487C">
      <w:pPr>
        <w:pStyle w:val="Heading1"/>
      </w:pPr>
      <w:bookmarkStart w:id="0" w:name="_Hlk88121061"/>
      <w:r>
        <w:t>Base Warranty Guideline for New Instruments deals</w:t>
      </w:r>
    </w:p>
    <w:bookmarkEnd w:id="0"/>
    <w:p w14:paraId="5EED22D1" w14:textId="77777777" w:rsidR="00364D33" w:rsidRDefault="00364D33"/>
    <w:p w14:paraId="5839C292" w14:textId="2718010D" w:rsidR="00F703B2" w:rsidRDefault="00DF487C">
      <w:r>
        <w:br/>
        <w:t>All Illumina instruments are sold with 12 months Base Warranty.</w:t>
      </w:r>
    </w:p>
    <w:p w14:paraId="3AEA46C9" w14:textId="77777777" w:rsidR="00F703B2" w:rsidRDefault="00F703B2"/>
    <w:p w14:paraId="48AA6E80" w14:textId="497F0405" w:rsidR="00F703B2" w:rsidRDefault="00DF487C">
      <w:r>
        <w:t xml:space="preserve">The Base Warranty includes the following (except for </w:t>
      </w:r>
      <w:proofErr w:type="spellStart"/>
      <w:r>
        <w:t>iSeq</w:t>
      </w:r>
      <w:proofErr w:type="spellEnd"/>
      <w:r>
        <w:t xml:space="preserve"> 100):</w:t>
      </w:r>
    </w:p>
    <w:p w14:paraId="054D132A" w14:textId="77777777" w:rsidR="00364D33" w:rsidRDefault="00364D33"/>
    <w:p w14:paraId="3687BFC2" w14:textId="77777777" w:rsidR="00364D33" w:rsidRDefault="00364D33"/>
    <w:p w14:paraId="3C19066B" w14:textId="77777777" w:rsidR="00364D33" w:rsidRDefault="00364D33"/>
    <w:p w14:paraId="4D5E0A67" w14:textId="10D4504B" w:rsidR="00F703B2" w:rsidRDefault="00DF487C">
      <w:r>
        <w:rPr>
          <w:noProof/>
        </w:rPr>
        <w:drawing>
          <wp:anchor distT="0" distB="0" distL="114300" distR="114300" simplePos="0" relativeHeight="251657216" behindDoc="0" locked="0" layoutInCell="1" allowOverlap="1" wp14:anchorId="73A238AF" wp14:editId="3165881D">
            <wp:simplePos x="0" y="0"/>
            <wp:positionH relativeFrom="column">
              <wp:align>center</wp:align>
            </wp:positionH>
            <wp:positionV relativeFrom="paragraph">
              <wp:posOffset>2540</wp:posOffset>
            </wp:positionV>
            <wp:extent cx="4471332" cy="5318620"/>
            <wp:effectExtent l="0" t="0" r="0" b="0"/>
            <wp:wrapTopAndBottom/>
            <wp:docPr id="9" name="media/WfRACAgu8mf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dia/WfRACAgu8mf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1332" cy="5318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C1EC75" w14:textId="77777777" w:rsidR="00F703B2" w:rsidRDefault="00F703B2"/>
    <w:p w14:paraId="49991294" w14:textId="77777777" w:rsidR="00F703B2" w:rsidRDefault="00DF487C">
      <w:r>
        <w:rPr>
          <w:i/>
          <w:color w:val="404040"/>
        </w:rPr>
        <w:lastRenderedPageBreak/>
        <w:t>Base Warranty Activation and Duration:</w:t>
      </w:r>
    </w:p>
    <w:p w14:paraId="106A9BF3" w14:textId="77777777" w:rsidR="00F703B2" w:rsidRDefault="00F703B2"/>
    <w:p w14:paraId="64ED6722" w14:textId="77777777" w:rsidR="00F703B2" w:rsidRDefault="00DF487C">
      <w:r>
        <w:t>The length of the Base Warranty is fixed to 12 months and cannot be extended.</w:t>
      </w:r>
    </w:p>
    <w:p w14:paraId="029A637D" w14:textId="77777777" w:rsidR="00F703B2" w:rsidRDefault="00F703B2"/>
    <w:p w14:paraId="77E7679B" w14:textId="77777777" w:rsidR="00F703B2" w:rsidRDefault="00DF487C">
      <w:r>
        <w:t>The Base Warranty is activated on the day the instrument is installed or 30 days following the delivery, whichever event occurs first.</w:t>
      </w:r>
    </w:p>
    <w:p w14:paraId="037EA42B" w14:textId="77777777" w:rsidR="00F703B2" w:rsidRDefault="00F703B2"/>
    <w:p w14:paraId="2C6CBD98" w14:textId="77777777" w:rsidR="00F703B2" w:rsidRDefault="00DF487C">
      <w:r>
        <w:t>If for any reason, a new instrument needs to be supplied with a longer warranty, this will have to be put in place by adding a Service Contract to your instrument quotation.</w:t>
      </w:r>
    </w:p>
    <w:p w14:paraId="62B23DFE" w14:textId="77777777" w:rsidR="00F703B2" w:rsidRDefault="00F703B2"/>
    <w:p w14:paraId="6B0127F1" w14:textId="77777777" w:rsidR="00F703B2" w:rsidRDefault="00DF487C">
      <w:r>
        <w:rPr>
          <w:i/>
          <w:color w:val="404040"/>
        </w:rPr>
        <w:t>Considerations for New instrument deals:</w:t>
      </w:r>
    </w:p>
    <w:p w14:paraId="26662D42" w14:textId="77777777" w:rsidR="00F703B2" w:rsidRDefault="00F703B2"/>
    <w:p w14:paraId="38E2F540" w14:textId="77777777" w:rsidR="00F703B2" w:rsidRDefault="00DF487C">
      <w:r>
        <w:t>To avoid side deals and prevent Revenue Recognition problems, you would have to pay particular attention to the Base Warranty if any of these situations apply:</w:t>
      </w:r>
    </w:p>
    <w:p w14:paraId="75E75B88" w14:textId="77777777" w:rsidR="00F703B2" w:rsidRDefault="00DF487C">
      <w:pPr>
        <w:pStyle w:val="ListParagraph"/>
        <w:numPr>
          <w:ilvl w:val="0"/>
          <w:numId w:val="1"/>
        </w:numPr>
      </w:pPr>
      <w:r>
        <w:t>the instrument installation cannot be performed within 30 days of delivery</w:t>
      </w:r>
    </w:p>
    <w:p w14:paraId="47AF74F4" w14:textId="77777777" w:rsidR="00F703B2" w:rsidRDefault="00DF487C">
      <w:pPr>
        <w:pStyle w:val="ListParagraph"/>
        <w:numPr>
          <w:ilvl w:val="0"/>
          <w:numId w:val="1"/>
        </w:numPr>
      </w:pPr>
      <w:r>
        <w:t>specific ACP Rev Rec requirements cannot be met within 30 days of delivery</w:t>
      </w:r>
    </w:p>
    <w:p w14:paraId="31269AEB" w14:textId="63967DAC" w:rsidR="00F703B2" w:rsidRDefault="00DF487C">
      <w:r>
        <w:t>If this applies to your deal, is Illumina or the customer at the origin of the installation/acceptance delay?</w:t>
      </w:r>
    </w:p>
    <w:p w14:paraId="311200E3" w14:textId="77777777" w:rsidR="00F703B2" w:rsidRDefault="00F703B2"/>
    <w:p w14:paraId="1AB8E44D" w14:textId="77777777" w:rsidR="00F703B2" w:rsidRDefault="00DF487C">
      <w:r>
        <w:rPr>
          <w:b/>
        </w:rPr>
        <w:t>In cases where this is due to Illumina</w:t>
      </w:r>
      <w:r>
        <w:t xml:space="preserve"> (trying to ship before end of Q for example), then we should prevent the customer from being negatively impacted and add a NSCO Service Contract for the estimated duration of the lost Base Warranty.</w:t>
      </w:r>
    </w:p>
    <w:p w14:paraId="421B1DA9" w14:textId="77777777" w:rsidR="00F703B2" w:rsidRDefault="00F703B2"/>
    <w:p w14:paraId="254DC55F" w14:textId="77777777" w:rsidR="00F703B2" w:rsidRDefault="00DF487C">
      <w:r>
        <w:rPr>
          <w:b/>
        </w:rPr>
        <w:t>If this is due to a customer request</w:t>
      </w:r>
      <w:r>
        <w:t>, determine if there is a business case for an additional FOC  cover and clearly define what Illumina will agree to provide.</w:t>
      </w:r>
    </w:p>
    <w:p w14:paraId="33999359" w14:textId="77777777" w:rsidR="00F703B2" w:rsidRDefault="00F703B2"/>
    <w:p w14:paraId="25B67BE6" w14:textId="77777777" w:rsidR="00F703B2" w:rsidRDefault="00DF487C">
      <w:r>
        <w:t>This will be processed via NCSO and have a cost to Illumina: can it be justified?</w:t>
      </w:r>
    </w:p>
    <w:p w14:paraId="64BBF3BB" w14:textId="77777777" w:rsidR="00F703B2" w:rsidRDefault="00F703B2"/>
    <w:p w14:paraId="19822A39" w14:textId="77777777" w:rsidR="00F703B2" w:rsidRDefault="00DF487C">
      <w:r>
        <w:t>If this is linked to a customer’s request, the Customer will see the NCSO value, can you use it as a leverage to get something in exchange?</w:t>
      </w:r>
    </w:p>
    <w:p w14:paraId="319A85A7" w14:textId="036844C8" w:rsidR="00F703B2" w:rsidRDefault="00364D33" w:rsidP="00364D33">
      <w:pPr>
        <w:tabs>
          <w:tab w:val="left" w:pos="4870"/>
        </w:tabs>
      </w:pPr>
      <w:r>
        <w:tab/>
      </w:r>
    </w:p>
    <w:p w14:paraId="5223592A" w14:textId="3120760D" w:rsidR="00364D33" w:rsidRDefault="00364D33" w:rsidP="00364D33">
      <w:pPr>
        <w:tabs>
          <w:tab w:val="left" w:pos="4870"/>
        </w:tabs>
      </w:pPr>
    </w:p>
    <w:p w14:paraId="709D8B8F" w14:textId="77777777" w:rsidR="00364D33" w:rsidRDefault="00364D33" w:rsidP="00364D33">
      <w:pPr>
        <w:tabs>
          <w:tab w:val="left" w:pos="4870"/>
        </w:tabs>
      </w:pPr>
    </w:p>
    <w:p w14:paraId="1006334F" w14:textId="426D9EEC" w:rsidR="00F703B2" w:rsidRDefault="00DF487C">
      <w:r>
        <w:rPr>
          <w:i/>
          <w:color w:val="404040"/>
        </w:rPr>
        <w:t>Process to quote a Base Warranty “extension”:</w:t>
      </w:r>
      <w:r w:rsidR="00364D33">
        <w:rPr>
          <w:i/>
          <w:color w:val="404040"/>
        </w:rPr>
        <w:t xml:space="preserve"> (see next page)</w:t>
      </w:r>
    </w:p>
    <w:p w14:paraId="4DF33DBD" w14:textId="77777777" w:rsidR="00DF487C" w:rsidRDefault="00DF487C">
      <w:pPr>
        <w:rPr>
          <w:noProof/>
        </w:rPr>
      </w:pPr>
    </w:p>
    <w:p w14:paraId="58EB16CB" w14:textId="1CDC63F4" w:rsidR="00F703B2" w:rsidRDefault="00DF487C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F2381CD" wp14:editId="240CDF39">
            <wp:simplePos x="0" y="0"/>
            <wp:positionH relativeFrom="column">
              <wp:posOffset>69850</wp:posOffset>
            </wp:positionH>
            <wp:positionV relativeFrom="paragraph">
              <wp:posOffset>222250</wp:posOffset>
            </wp:positionV>
            <wp:extent cx="5351780" cy="5288908"/>
            <wp:effectExtent l="0" t="0" r="1270" b="7620"/>
            <wp:wrapTopAndBottom/>
            <wp:docPr id="10" name="media/WfRACAZRwC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dia/WfRACAZRwCn.png"/>
                    <pic:cNvPicPr/>
                  </pic:nvPicPr>
                  <pic:blipFill rotWithShape="1">
                    <a:blip r:embed="rId6"/>
                    <a:srcRect t="4033"/>
                    <a:stretch/>
                  </pic:blipFill>
                  <pic:spPr bwMode="auto">
                    <a:xfrm>
                      <a:off x="0" y="0"/>
                      <a:ext cx="5352176" cy="52892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DD65352" w14:textId="77777777" w:rsidR="00F703B2" w:rsidRDefault="00F703B2"/>
    <w:p w14:paraId="32474802" w14:textId="77777777" w:rsidR="00377E5B" w:rsidRDefault="00377E5B"/>
    <w:sectPr w:rsidR="00377E5B" w:rsidSect="00377E5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D1181"/>
    <w:multiLevelType w:val="hybridMultilevel"/>
    <w:tmpl w:val="AD8EAE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5E5D75"/>
    <w:multiLevelType w:val="hybridMultilevel"/>
    <w:tmpl w:val="590C7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FAC"/>
    <w:rsid w:val="002F0304"/>
    <w:rsid w:val="002F2E9B"/>
    <w:rsid w:val="00306FAC"/>
    <w:rsid w:val="003421ED"/>
    <w:rsid w:val="00364D33"/>
    <w:rsid w:val="00377E5B"/>
    <w:rsid w:val="004211B1"/>
    <w:rsid w:val="00562D31"/>
    <w:rsid w:val="005E491B"/>
    <w:rsid w:val="006D18F6"/>
    <w:rsid w:val="00832456"/>
    <w:rsid w:val="00AC7BDF"/>
    <w:rsid w:val="00D31A0D"/>
    <w:rsid w:val="00D9774D"/>
    <w:rsid w:val="00DF487C"/>
    <w:rsid w:val="00F70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D37CF8"/>
  <w14:defaultImageDpi w14:val="300"/>
  <w15:docId w15:val="{C1753126-967E-48BB-A817-07805BB24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7BDF"/>
    <w:pPr>
      <w:keepNext/>
      <w:keepLines/>
      <w:spacing w:before="480"/>
      <w:outlineLvl w:val="0"/>
    </w:pPr>
    <w:rPr>
      <w:rFonts w:ascii="Helvetica" w:eastAsiaTheme="majorEastAsia" w:hAnsi="Helvetica" w:cstheme="majorBidi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91B"/>
    <w:pPr>
      <w:keepNext/>
      <w:keepLines/>
      <w:spacing w:before="200"/>
      <w:outlineLvl w:val="1"/>
    </w:pPr>
    <w:rPr>
      <w:rFonts w:ascii="Helvetica" w:eastAsiaTheme="majorEastAsia" w:hAnsi="Helvetic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91B"/>
    <w:pPr>
      <w:keepNext/>
      <w:keepLines/>
      <w:spacing w:before="200"/>
      <w:outlineLvl w:val="2"/>
    </w:pPr>
    <w:rPr>
      <w:rFonts w:ascii="Helvetica" w:eastAsiaTheme="majorEastAsia" w:hAnsi="Helvetic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pPr>
      <w:spacing w:before="240" w:after="240"/>
    </w:pPr>
    <w:rPr>
      <w:rFonts w:ascii="Courier New" w:hAnsi="Courier New" w:cs="Courier New"/>
      <w:shd w:val="clear" w:color="auto" w:fill="EEEEEE"/>
    </w:rPr>
  </w:style>
  <w:style w:type="character" w:customStyle="1" w:styleId="InlineCode">
    <w:name w:val="InlineCode"/>
    <w:rPr>
      <w:rFonts w:ascii="Courier New" w:hAnsi="Courier New" w:cs="Courier New"/>
      <w:shd w:val="clear" w:color="auto" w:fill="EEEEEE"/>
    </w:rPr>
  </w:style>
  <w:style w:type="character" w:styleId="Hyperlink">
    <w:name w:val="Hyperlink"/>
    <w:basedOn w:val="DefaultParagraphFont"/>
    <w:uiPriority w:val="99"/>
    <w:unhideWhenUsed/>
    <w:rsid w:val="00832456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C7BDF"/>
    <w:rPr>
      <w:rFonts w:ascii="Helvetica" w:eastAsiaTheme="majorEastAsia" w:hAnsi="Helvetica" w:cstheme="majorBidi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59"/>
    <w:rsid w:val="00D977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D9774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1">
    <w:name w:val="Light List Accent 1"/>
    <w:basedOn w:val="TableNormal"/>
    <w:uiPriority w:val="61"/>
    <w:rsid w:val="00D9774D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5E491B"/>
    <w:rPr>
      <w:rFonts w:ascii="Helvetica" w:eastAsiaTheme="majorEastAsia" w:hAnsi="Helvetica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E491B"/>
    <w:rPr>
      <w:rFonts w:ascii="Helvetica" w:eastAsiaTheme="majorEastAsia" w:hAnsi="Helvetica" w:cstheme="majorBidi"/>
      <w:b/>
      <w:bCs/>
    </w:rPr>
  </w:style>
  <w:style w:type="paragraph" w:styleId="ListParagraph">
    <w:name w:val="List Paragraph"/>
    <w:basedOn w:val="Normal"/>
    <w:uiPriority w:val="34"/>
    <w:qFormat/>
    <w:rsid w:val="005E491B"/>
    <w:pPr>
      <w:ind w:left="720"/>
      <w:contextualSpacing/>
    </w:pPr>
  </w:style>
  <w:style w:type="table" w:styleId="LightList">
    <w:name w:val="Light List"/>
    <w:basedOn w:val="TableNormal"/>
    <w:uiPriority w:val="61"/>
    <w:rsid w:val="005E491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1">
    <w:name w:val="Light Shading Accent 1"/>
    <w:basedOn w:val="TableNormal"/>
    <w:uiPriority w:val="60"/>
    <w:rsid w:val="005E491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5E491B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AF34A1"/>
    <w:pPr>
      <w:pBdr>
        <w:left w:val="single" w:sz="18" w:space="8" w:color="BFBFBF" w:themeColor="background1" w:themeShade="BF"/>
      </w:pBdr>
      <w:ind w:left="144" w:right="864"/>
    </w:pPr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AF34A1"/>
  </w:style>
  <w:style w:type="paragraph" w:customStyle="1" w:styleId="PullQuote">
    <w:name w:val="Pull Quote"/>
    <w:basedOn w:val="Normal"/>
    <w:qFormat/>
    <w:rsid w:val="007A714C"/>
    <w:pPr>
      <w:spacing w:before="120" w:after="120" w:line="360" w:lineRule="auto"/>
      <w:ind w:left="288" w:right="288"/>
      <w:jc w:val="center"/>
    </w:pPr>
    <w:rPr>
      <w:i/>
      <w:color w:val="BFBFBF" w:themeColor="background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264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Base Warranty Guideline for New Instruments deals</dc:title>
  <dc:subject>
  </dc:subject>
  <dc:creator>Sarah Rouquette</dc:creator>
  <cp:keywords>
  </cp:keywords>
  <dc:description>
  </dc:description>
  <cp:lastModifiedBy>Efthymiadi, Stella</cp:lastModifiedBy>
  <cp:revision>2</cp:revision>
  <dcterms:created xsi:type="dcterms:W3CDTF">2021-11-18T08:45:00Z</dcterms:created>
  <dcterms:modified xsi:type="dcterms:W3CDTF">2021-11-18T08:45:00Z</dcterms:modified>
</cp:coreProperties>
</file>