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B6E" w:rsidRPr="00D555FA" w:rsidRDefault="00EA0B6E" w:rsidP="00EA0B6E">
      <w:pPr>
        <w:pStyle w:val="Header"/>
        <w:jc w:val="right"/>
      </w:pPr>
      <w:r w:rsidRPr="00D555FA">
        <w:t>A</w:t>
      </w:r>
      <w:r w:rsidR="00EF7328" w:rsidRPr="00D555FA">
        <w:t>UDIENCE</w:t>
      </w:r>
      <w:r w:rsidR="00A77B6A" w:rsidRPr="00D555FA">
        <w:t xml:space="preserve">:  </w:t>
      </w:r>
      <w:r w:rsidR="000D34CB" w:rsidRPr="00D555FA">
        <w:t>All Ambulatory</w:t>
      </w:r>
      <w:r w:rsidR="00212655">
        <w:t xml:space="preserve"> Users</w:t>
      </w:r>
    </w:p>
    <w:p w:rsidR="00EA0B6E" w:rsidRDefault="00EF7328" w:rsidP="00EA0B6E">
      <w:pPr>
        <w:pStyle w:val="Header"/>
        <w:jc w:val="right"/>
      </w:pPr>
      <w:r w:rsidRPr="00D555FA">
        <w:t>DATE OF CHANGE</w:t>
      </w:r>
      <w:r w:rsidR="00EA0B6E" w:rsidRPr="00D555FA">
        <w:t xml:space="preserve">: </w:t>
      </w:r>
      <w:r w:rsidR="00A24526">
        <w:t xml:space="preserve">October </w:t>
      </w:r>
      <w:r w:rsidR="00B14930">
        <w:t>7</w:t>
      </w:r>
      <w:r w:rsidR="00A77B6A" w:rsidRPr="00D555FA">
        <w:t>, 2013</w:t>
      </w:r>
    </w:p>
    <w:p w:rsidR="00DB6826" w:rsidRPr="00D555FA" w:rsidRDefault="00DB6826" w:rsidP="00EA0B6E">
      <w:pPr>
        <w:pStyle w:val="Header"/>
        <w:jc w:val="right"/>
      </w:pPr>
    </w:p>
    <w:tbl>
      <w:tblPr>
        <w:tblStyle w:val="TableGrid1"/>
        <w:tblW w:w="95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20"/>
        <w:gridCol w:w="7756"/>
      </w:tblGrid>
      <w:tr w:rsidR="00EA0B6E" w:rsidRPr="00D555FA">
        <w:trPr>
          <w:trHeight w:val="1295"/>
        </w:trPr>
        <w:tc>
          <w:tcPr>
            <w:tcW w:w="1820" w:type="dxa"/>
          </w:tcPr>
          <w:p w:rsidR="00EA0B6E" w:rsidRPr="00D555FA" w:rsidRDefault="009073D0" w:rsidP="000B04B0">
            <w:pPr>
              <w:jc w:val="right"/>
              <w:rPr>
                <w:rFonts w:cs="Times New Roman"/>
              </w:rPr>
            </w:pPr>
            <w:r w:rsidRPr="00D555FA">
              <w:rPr>
                <w:rFonts w:eastAsiaTheme="minorHAnsi" w:cs="Times New Roman"/>
              </w:rPr>
              <w:object w:dxaOrig="1524" w:dyaOrig="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80.2pt" o:ole="">
                  <v:imagedata r:id="rId10" o:title=""/>
                </v:shape>
                <o:OLEObject Type="Embed" ProgID="Visio.Drawing.11" ShapeID="_x0000_i1025" DrawAspect="Content" ObjectID="_1316445107" r:id="rId11"/>
              </w:object>
            </w:r>
          </w:p>
        </w:tc>
        <w:tc>
          <w:tcPr>
            <w:tcW w:w="7756" w:type="dxa"/>
          </w:tcPr>
          <w:p w:rsidR="00A24526" w:rsidRPr="00BB0DFC" w:rsidRDefault="00A24526" w:rsidP="00A24526">
            <w:pPr>
              <w:rPr>
                <w:rFonts w:cs="Times New Roman"/>
                <w:b/>
                <w:sz w:val="4"/>
                <w:szCs w:val="36"/>
              </w:rPr>
            </w:pPr>
          </w:p>
          <w:p w:rsidR="009073D0" w:rsidRDefault="009073D0" w:rsidP="00A24526">
            <w:pPr>
              <w:rPr>
                <w:rFonts w:ascii="Franklin Gothic Book" w:hAnsi="Franklin Gothic Book" w:cs="Times New Roman"/>
                <w:b/>
                <w:sz w:val="36"/>
                <w:szCs w:val="36"/>
              </w:rPr>
            </w:pPr>
          </w:p>
          <w:p w:rsidR="00EA0B6E" w:rsidRPr="00D555FA" w:rsidRDefault="009073D0" w:rsidP="00A24526">
            <w:pPr>
              <w:rPr>
                <w:rFonts w:cs="Times New Roman"/>
                <w:b/>
                <w:sz w:val="36"/>
                <w:szCs w:val="36"/>
              </w:rPr>
            </w:pPr>
            <w:r>
              <w:rPr>
                <w:rFonts w:ascii="Franklin Gothic Book" w:hAnsi="Franklin Gothic Book" w:cs="Times New Roman"/>
                <w:b/>
                <w:sz w:val="36"/>
                <w:szCs w:val="36"/>
              </w:rPr>
              <w:t>Surescripts NCPDP 10.6 Interface Upgrade</w:t>
            </w:r>
          </w:p>
        </w:tc>
      </w:tr>
    </w:tbl>
    <w:p w:rsidR="00DB6826" w:rsidRPr="00DB6826" w:rsidRDefault="00DB6826" w:rsidP="00511E9A">
      <w:pPr>
        <w:spacing w:after="0" w:line="240" w:lineRule="auto"/>
        <w:rPr>
          <w:rFonts w:eastAsia="Times New Roman" w:cs="Times New Roman"/>
          <w:color w:val="E36C0A" w:themeColor="accent6" w:themeShade="BF"/>
          <w:szCs w:val="24"/>
        </w:rPr>
      </w:pPr>
    </w:p>
    <w:p w:rsidR="00EA0B6E" w:rsidRPr="00D555FA" w:rsidRDefault="002A7786" w:rsidP="00EA0B6E">
      <w:pPr>
        <w:spacing w:after="0" w:line="240" w:lineRule="auto"/>
        <w:ind w:left="720"/>
        <w:rPr>
          <w:rFonts w:eastAsia="Times New Roman" w:cs="Times New Roman"/>
          <w:color w:val="E36C0A" w:themeColor="accent6" w:themeShade="BF"/>
          <w:sz w:val="28"/>
          <w:szCs w:val="24"/>
        </w:rPr>
      </w:pPr>
      <w:r w:rsidRPr="00D555FA">
        <w:rPr>
          <w:rFonts w:eastAsia="Times New Roman" w:cs="Times New Roman"/>
          <w:color w:val="E36C0A" w:themeColor="accent6" w:themeShade="BF"/>
          <w:sz w:val="28"/>
          <w:szCs w:val="24"/>
        </w:rPr>
        <w:t>Highlights</w:t>
      </w:r>
    </w:p>
    <w:p w:rsidR="00EA0B6E" w:rsidRPr="008C1CCE" w:rsidRDefault="00EA0B6E" w:rsidP="00EA0B6E">
      <w:pPr>
        <w:spacing w:after="0" w:line="240" w:lineRule="auto"/>
        <w:rPr>
          <w:rFonts w:eastAsia="Times New Roman" w:cs="Times New Roman"/>
          <w:sz w:val="12"/>
        </w:rPr>
      </w:pPr>
    </w:p>
    <w:p w:rsidR="00891F1C" w:rsidRDefault="009073D0" w:rsidP="00511E9A">
      <w:pPr>
        <w:spacing w:after="0" w:line="240" w:lineRule="auto"/>
        <w:ind w:left="720"/>
        <w:rPr>
          <w:rFonts w:eastAsia="Times New Roman" w:cs="Times New Roman"/>
          <w:bCs/>
          <w:szCs w:val="24"/>
        </w:rPr>
      </w:pPr>
      <w:r w:rsidRPr="009073D0">
        <w:rPr>
          <w:rFonts w:eastAsia="Times New Roman" w:cs="Times New Roman"/>
          <w:bCs/>
          <w:szCs w:val="24"/>
        </w:rPr>
        <w:t xml:space="preserve">The National Council for Prescription Drug Programs (NCPDP) requires that the Surescripts interface 8.1 be upgraded to the 10.6 version by October 31, 2013. This upgrade Implementation is a requirement for future functionality and support of Electronic Prescription of Controlled Substances (EPCS). </w:t>
      </w:r>
      <w:r>
        <w:rPr>
          <w:rFonts w:eastAsia="Times New Roman" w:cs="Times New Roman"/>
          <w:bCs/>
          <w:szCs w:val="24"/>
        </w:rPr>
        <w:t xml:space="preserve"> </w:t>
      </w:r>
      <w:r w:rsidRPr="009073D0">
        <w:rPr>
          <w:rFonts w:eastAsia="Times New Roman" w:cs="Times New Roman"/>
          <w:bCs/>
          <w:szCs w:val="24"/>
        </w:rPr>
        <w:t>This is also required for the CS-Link 2012 Up</w:t>
      </w:r>
      <w:r>
        <w:rPr>
          <w:rFonts w:eastAsia="Times New Roman" w:cs="Times New Roman"/>
          <w:bCs/>
          <w:szCs w:val="24"/>
        </w:rPr>
        <w:t>grade.</w:t>
      </w:r>
    </w:p>
    <w:p w:rsidR="00AF4CAE" w:rsidRPr="008C1CCE" w:rsidRDefault="00AF4CAE" w:rsidP="00DC78C4">
      <w:pPr>
        <w:spacing w:after="0" w:line="240" w:lineRule="auto"/>
        <w:ind w:left="720"/>
        <w:rPr>
          <w:rFonts w:eastAsia="Times New Roman" w:cs="Times New Roman"/>
          <w:bCs/>
          <w:sz w:val="28"/>
          <w:szCs w:val="24"/>
        </w:rPr>
      </w:pPr>
    </w:p>
    <w:p w:rsidR="00EA0B6E" w:rsidRPr="00D555FA" w:rsidRDefault="002A7786" w:rsidP="00EA0B6E">
      <w:pPr>
        <w:spacing w:after="0" w:line="240" w:lineRule="auto"/>
        <w:ind w:left="720"/>
        <w:rPr>
          <w:rFonts w:eastAsia="Times New Roman" w:cs="Times New Roman"/>
          <w:color w:val="E36C0A" w:themeColor="accent6" w:themeShade="BF"/>
          <w:sz w:val="28"/>
          <w:szCs w:val="24"/>
        </w:rPr>
      </w:pPr>
      <w:r w:rsidRPr="00D555FA">
        <w:rPr>
          <w:rFonts w:eastAsia="Times New Roman" w:cs="Times New Roman"/>
          <w:color w:val="E36C0A" w:themeColor="accent6" w:themeShade="BF"/>
          <w:sz w:val="28"/>
          <w:szCs w:val="24"/>
        </w:rPr>
        <w:t>Details</w:t>
      </w:r>
    </w:p>
    <w:p w:rsidR="00EA0B6E" w:rsidRPr="008C1CCE" w:rsidRDefault="00EA0B6E" w:rsidP="00EA0B6E">
      <w:pPr>
        <w:spacing w:after="0" w:line="240" w:lineRule="auto"/>
        <w:ind w:left="720"/>
        <w:rPr>
          <w:rFonts w:eastAsia="Times New Roman" w:cs="Times New Roman"/>
          <w:bCs/>
          <w:sz w:val="12"/>
          <w:szCs w:val="28"/>
        </w:rPr>
      </w:pPr>
    </w:p>
    <w:p w:rsidR="009073D0" w:rsidRPr="009073D0" w:rsidRDefault="009073D0" w:rsidP="00511E9A">
      <w:pPr>
        <w:pStyle w:val="ListParagraph"/>
        <w:keepLines/>
        <w:numPr>
          <w:ilvl w:val="0"/>
          <w:numId w:val="6"/>
        </w:numPr>
        <w:spacing w:after="0" w:line="240" w:lineRule="auto"/>
        <w:ind w:left="720"/>
        <w:rPr>
          <w:rFonts w:cstheme="minorHAnsi"/>
          <w:b/>
          <w:color w:val="000000"/>
        </w:rPr>
      </w:pPr>
      <w:r w:rsidRPr="009073D0">
        <w:rPr>
          <w:rFonts w:cstheme="minorHAnsi"/>
          <w:b/>
          <w:color w:val="000000"/>
        </w:rPr>
        <w:t xml:space="preserve">New Link Medication button in the Refill </w:t>
      </w:r>
      <w:r w:rsidR="008C1CCE">
        <w:rPr>
          <w:rFonts w:cstheme="minorHAnsi"/>
          <w:b/>
          <w:color w:val="000000"/>
        </w:rPr>
        <w:t>Errors folder in the In Basket</w:t>
      </w:r>
    </w:p>
    <w:p w:rsidR="009073D0" w:rsidRPr="00511E9A" w:rsidRDefault="009073D0" w:rsidP="00511E9A">
      <w:pPr>
        <w:keepLines/>
        <w:spacing w:after="0" w:line="240" w:lineRule="auto"/>
        <w:ind w:left="720"/>
        <w:rPr>
          <w:rFonts w:cstheme="minorHAnsi"/>
          <w:color w:val="000000"/>
        </w:rPr>
      </w:pPr>
      <w:r w:rsidRPr="00511E9A">
        <w:rPr>
          <w:rFonts w:cstheme="minorHAnsi"/>
          <w:color w:val="000000"/>
        </w:rPr>
        <w:t xml:space="preserve">When external pharmacies send clinicians refill requests through CS-Link, the system cannot always match the requested medications to medication records in the CS-Link system.  The Link Medications Button launches a utility that assists users identify and link new med requests with existing meds.   </w:t>
      </w:r>
    </w:p>
    <w:p w:rsidR="009073D0" w:rsidRPr="00860BFE" w:rsidRDefault="009073D0" w:rsidP="009073D0">
      <w:pPr>
        <w:keepLines/>
        <w:spacing w:after="0" w:line="240" w:lineRule="auto"/>
        <w:rPr>
          <w:rFonts w:cstheme="minorHAnsi"/>
          <w:color w:val="000000"/>
          <w:sz w:val="12"/>
        </w:rPr>
      </w:pPr>
    </w:p>
    <w:p w:rsidR="009073D0" w:rsidRPr="00370531" w:rsidRDefault="009073D0" w:rsidP="00511E9A">
      <w:pPr>
        <w:keepLines/>
        <w:spacing w:after="0" w:line="240" w:lineRule="auto"/>
        <w:ind w:firstLine="720"/>
        <w:rPr>
          <w:rFonts w:cstheme="minorHAnsi"/>
          <w:color w:val="000000"/>
        </w:rPr>
      </w:pPr>
      <w:r>
        <w:rPr>
          <w:noProof/>
        </w:rPr>
        <w:drawing>
          <wp:inline distT="0" distB="0" distL="0" distR="0">
            <wp:extent cx="5242560" cy="9941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9077" cy="997314"/>
                    </a:xfrm>
                    <a:prstGeom prst="rect">
                      <a:avLst/>
                    </a:prstGeom>
                  </pic:spPr>
                </pic:pic>
              </a:graphicData>
            </a:graphic>
          </wp:inline>
        </w:drawing>
      </w:r>
    </w:p>
    <w:p w:rsidR="00511E9A" w:rsidRDefault="00511E9A" w:rsidP="00511E9A">
      <w:pPr>
        <w:spacing w:after="0" w:line="240" w:lineRule="auto"/>
        <w:ind w:left="1080"/>
        <w:rPr>
          <w:rFonts w:eastAsia="Times New Roman" w:cs="Times New Roman"/>
          <w:bCs/>
          <w:szCs w:val="24"/>
        </w:rPr>
      </w:pPr>
    </w:p>
    <w:p w:rsidR="00511E9A" w:rsidRPr="00511E9A" w:rsidRDefault="00511E9A" w:rsidP="00511E9A">
      <w:pPr>
        <w:spacing w:after="0" w:line="240" w:lineRule="auto"/>
        <w:ind w:left="720"/>
        <w:rPr>
          <w:rFonts w:eastAsia="Times New Roman" w:cs="Times New Roman"/>
          <w:bCs/>
          <w:color w:val="0000FF" w:themeColor="hyperlink"/>
          <w:szCs w:val="24"/>
          <w:u w:val="single"/>
        </w:rPr>
      </w:pPr>
      <w:r>
        <w:rPr>
          <w:rFonts w:eastAsia="Times New Roman" w:cs="Times New Roman"/>
          <w:bCs/>
          <w:szCs w:val="24"/>
        </w:rPr>
        <w:t>For more details regarding the Link Medication Button</w:t>
      </w:r>
      <w:r w:rsidRPr="000A5A57">
        <w:rPr>
          <w:rFonts w:eastAsia="Times New Roman" w:cs="Times New Roman"/>
          <w:bCs/>
          <w:szCs w:val="24"/>
        </w:rPr>
        <w:t xml:space="preserve"> p</w:t>
      </w:r>
      <w:r>
        <w:rPr>
          <w:rFonts w:eastAsia="Times New Roman" w:cs="Times New Roman"/>
          <w:bCs/>
          <w:szCs w:val="24"/>
        </w:rPr>
        <w:t xml:space="preserve">lease reference </w:t>
      </w:r>
      <w:hyperlink r:id="rId13" w:history="1">
        <w:r w:rsidRPr="009073D0">
          <w:rPr>
            <w:rStyle w:val="Hyperlink"/>
            <w:rFonts w:eastAsia="Times New Roman" w:cs="Times New Roman"/>
            <w:bCs/>
            <w:szCs w:val="24"/>
          </w:rPr>
          <w:t>Job Aid JAALL0037</w:t>
        </w:r>
      </w:hyperlink>
      <w:r>
        <w:rPr>
          <w:rFonts w:eastAsia="Times New Roman" w:cs="Times New Roman"/>
          <w:bCs/>
          <w:szCs w:val="24"/>
        </w:rPr>
        <w:t xml:space="preserve"> </w:t>
      </w:r>
      <w:r w:rsidRPr="000A5A57">
        <w:rPr>
          <w:rFonts w:eastAsia="Times New Roman" w:cs="Times New Roman"/>
          <w:bCs/>
          <w:szCs w:val="24"/>
        </w:rPr>
        <w:t xml:space="preserve">under the My CS-Link section of the </w:t>
      </w:r>
      <w:hyperlink w:history="1">
        <w:r w:rsidRPr="001F66A2">
          <w:rPr>
            <w:rStyle w:val="Hyperlink"/>
            <w:rFonts w:eastAsia="Times New Roman" w:cs="Times New Roman"/>
            <w:bCs/>
            <w:szCs w:val="24"/>
          </w:rPr>
          <w:t>Training Updates</w:t>
        </w:r>
      </w:hyperlink>
      <w:r w:rsidRPr="000A5A57">
        <w:rPr>
          <w:rFonts w:eastAsia="Times New Roman" w:cs="Times New Roman"/>
          <w:bCs/>
          <w:szCs w:val="24"/>
        </w:rPr>
        <w:t xml:space="preserve"> tab on </w:t>
      </w:r>
      <w:hyperlink r:id="rId14" w:history="1">
        <w:r w:rsidRPr="000A5A57">
          <w:rPr>
            <w:rStyle w:val="Hyperlink"/>
            <w:rFonts w:eastAsia="Times New Roman" w:cs="Times New Roman"/>
            <w:bCs/>
            <w:szCs w:val="24"/>
          </w:rPr>
          <w:t>www.cslinkcentral.com</w:t>
        </w:r>
      </w:hyperlink>
    </w:p>
    <w:p w:rsidR="009073D0" w:rsidRPr="00860BFE" w:rsidRDefault="009073D0" w:rsidP="009073D0">
      <w:pPr>
        <w:keepLines/>
        <w:spacing w:after="0" w:line="240" w:lineRule="auto"/>
        <w:rPr>
          <w:rFonts w:cstheme="minorHAnsi"/>
          <w:color w:val="000000"/>
          <w:sz w:val="24"/>
        </w:rPr>
      </w:pPr>
    </w:p>
    <w:p w:rsidR="00511E9A" w:rsidRPr="00511E9A" w:rsidRDefault="00511E9A" w:rsidP="00511E9A">
      <w:pPr>
        <w:pStyle w:val="ListParagraph"/>
        <w:keepLines/>
        <w:numPr>
          <w:ilvl w:val="0"/>
          <w:numId w:val="6"/>
        </w:numPr>
        <w:spacing w:after="0" w:line="240" w:lineRule="auto"/>
        <w:ind w:left="720"/>
        <w:rPr>
          <w:rFonts w:cstheme="minorHAnsi"/>
          <w:b/>
          <w:color w:val="000000"/>
        </w:rPr>
      </w:pPr>
      <w:r w:rsidRPr="00511E9A">
        <w:rPr>
          <w:rFonts w:cstheme="minorHAnsi"/>
          <w:b/>
        </w:rPr>
        <w:t>New Requested Med</w:t>
      </w:r>
      <w:r w:rsidRPr="00511E9A">
        <w:rPr>
          <w:rFonts w:cstheme="minorHAnsi"/>
          <w:b/>
          <w:color w:val="000000"/>
        </w:rPr>
        <w:t>ication section in the Rx Request Folder in the In Basket</w:t>
      </w:r>
    </w:p>
    <w:p w:rsidR="009073D0" w:rsidRPr="00511E9A" w:rsidRDefault="00511E9A" w:rsidP="00511E9A">
      <w:pPr>
        <w:keepLines/>
        <w:spacing w:after="0" w:line="240" w:lineRule="auto"/>
        <w:ind w:left="720"/>
        <w:rPr>
          <w:rFonts w:cstheme="minorHAnsi"/>
          <w:color w:val="000000"/>
        </w:rPr>
      </w:pPr>
      <w:r w:rsidRPr="00511E9A">
        <w:rPr>
          <w:rFonts w:cstheme="minorHAnsi"/>
          <w:color w:val="000000"/>
        </w:rPr>
        <w:t xml:space="preserve">This </w:t>
      </w:r>
      <w:r w:rsidR="009073D0" w:rsidRPr="00511E9A">
        <w:rPr>
          <w:rFonts w:cstheme="minorHAnsi"/>
          <w:color w:val="000000"/>
        </w:rPr>
        <w:t xml:space="preserve">section displays information about pending medications from refill requests generated from within Epic or from an incoming pharmacy interface. </w:t>
      </w:r>
      <w:r w:rsidRPr="00511E9A">
        <w:rPr>
          <w:rFonts w:cstheme="minorHAnsi"/>
          <w:color w:val="000000"/>
        </w:rPr>
        <w:t xml:space="preserve"> </w:t>
      </w:r>
      <w:r w:rsidR="009073D0" w:rsidRPr="00511E9A">
        <w:rPr>
          <w:rFonts w:cstheme="minorHAnsi"/>
          <w:color w:val="000000"/>
        </w:rPr>
        <w:t>It also displays information about previous orders, if available, and a hyperlink to additional previous order informatio</w:t>
      </w:r>
      <w:r w:rsidRPr="00511E9A">
        <w:rPr>
          <w:rFonts w:cstheme="minorHAnsi"/>
          <w:color w:val="000000"/>
        </w:rPr>
        <w:t>n.</w:t>
      </w:r>
    </w:p>
    <w:p w:rsidR="00511E9A" w:rsidRPr="00860BFE" w:rsidRDefault="00511E9A" w:rsidP="00511E9A">
      <w:pPr>
        <w:pStyle w:val="ListParagraph"/>
        <w:keepLines/>
        <w:spacing w:after="0" w:line="240" w:lineRule="auto"/>
        <w:ind w:left="1080"/>
        <w:rPr>
          <w:rFonts w:cstheme="minorHAnsi"/>
          <w:sz w:val="12"/>
        </w:rPr>
      </w:pPr>
    </w:p>
    <w:p w:rsidR="009073D0" w:rsidRDefault="009073D0" w:rsidP="00511E9A">
      <w:pPr>
        <w:ind w:firstLine="720"/>
      </w:pPr>
      <w:r>
        <w:rPr>
          <w:noProof/>
        </w:rPr>
        <w:drawing>
          <wp:inline distT="0" distB="0" distL="0" distR="0">
            <wp:extent cx="5402580" cy="209580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2580" cy="2095809"/>
                    </a:xfrm>
                    <a:prstGeom prst="rect">
                      <a:avLst/>
                    </a:prstGeom>
                  </pic:spPr>
                </pic:pic>
              </a:graphicData>
            </a:graphic>
          </wp:inline>
        </w:drawing>
      </w:r>
    </w:p>
    <w:p w:rsidR="009073D0" w:rsidRDefault="009073D0" w:rsidP="009073D0">
      <w:pPr>
        <w:ind w:left="360"/>
      </w:pPr>
    </w:p>
    <w:p w:rsidR="00860BFE" w:rsidRPr="00860BFE" w:rsidRDefault="00860BFE" w:rsidP="00860BFE">
      <w:pPr>
        <w:pStyle w:val="ListParagraph"/>
        <w:keepLines/>
        <w:numPr>
          <w:ilvl w:val="0"/>
          <w:numId w:val="6"/>
        </w:numPr>
        <w:spacing w:after="0" w:line="240" w:lineRule="auto"/>
        <w:ind w:left="720"/>
        <w:rPr>
          <w:rFonts w:cstheme="minorHAnsi"/>
          <w:b/>
          <w:color w:val="000000"/>
        </w:rPr>
      </w:pPr>
      <w:r w:rsidRPr="00860BFE">
        <w:rPr>
          <w:rFonts w:cstheme="minorHAnsi"/>
          <w:b/>
          <w:color w:val="000000"/>
        </w:rPr>
        <w:t>New Medication Detail section in Chart Review Reports under the Medications tab</w:t>
      </w:r>
    </w:p>
    <w:p w:rsidR="00860BFE" w:rsidRDefault="00860BFE" w:rsidP="0059686F">
      <w:pPr>
        <w:pStyle w:val="ListParagraph"/>
        <w:keepLines/>
        <w:suppressAutoHyphens/>
        <w:spacing w:after="0" w:line="240" w:lineRule="auto"/>
        <w:rPr>
          <w:rFonts w:cstheme="minorHAnsi"/>
          <w:color w:val="000000"/>
        </w:rPr>
      </w:pPr>
      <w:r>
        <w:rPr>
          <w:rFonts w:cstheme="minorHAnsi"/>
          <w:color w:val="000000"/>
        </w:rPr>
        <w:t>This</w:t>
      </w:r>
      <w:r w:rsidR="009073D0" w:rsidRPr="00860BFE">
        <w:rPr>
          <w:rFonts w:cstheme="minorHAnsi"/>
          <w:color w:val="000000"/>
        </w:rPr>
        <w:t xml:space="preserve"> section displays the E-Prescribing status of an e-prescription order. The status will display if the</w:t>
      </w:r>
      <w:r>
        <w:rPr>
          <w:rFonts w:cstheme="minorHAnsi"/>
          <w:color w:val="000000"/>
        </w:rPr>
        <w:t xml:space="preserve"> </w:t>
      </w:r>
      <w:r w:rsidR="0059686F">
        <w:rPr>
          <w:rFonts w:cstheme="minorHAnsi"/>
          <w:color w:val="000000"/>
        </w:rPr>
        <w:t xml:space="preserve">      </w:t>
      </w:r>
      <w:r w:rsidR="0059686F">
        <w:t>e-</w:t>
      </w:r>
      <w:r w:rsidR="009073D0" w:rsidRPr="00860BFE">
        <w:t>prescribing</w:t>
      </w:r>
      <w:r w:rsidR="009073D0" w:rsidRPr="00860BFE">
        <w:rPr>
          <w:rFonts w:cstheme="minorHAnsi"/>
          <w:color w:val="000000"/>
        </w:rPr>
        <w:t xml:space="preserve"> order has been sent to the pharmacy or if the transmission to the pharmacy failed.</w:t>
      </w:r>
    </w:p>
    <w:p w:rsidR="00860BFE" w:rsidRPr="00860BFE" w:rsidRDefault="00860BFE" w:rsidP="00860BFE">
      <w:pPr>
        <w:pStyle w:val="ListParagraph"/>
        <w:keepLines/>
        <w:spacing w:after="0" w:line="240" w:lineRule="auto"/>
        <w:rPr>
          <w:rFonts w:cstheme="minorHAnsi"/>
          <w:color w:val="000000"/>
          <w:sz w:val="12"/>
        </w:rPr>
      </w:pPr>
    </w:p>
    <w:p w:rsidR="009073D0" w:rsidRPr="00860BFE" w:rsidRDefault="009073D0" w:rsidP="00860BFE">
      <w:pPr>
        <w:pStyle w:val="ListParagraph"/>
        <w:keepLines/>
        <w:spacing w:after="0" w:line="240" w:lineRule="auto"/>
        <w:rPr>
          <w:rFonts w:cstheme="minorHAnsi"/>
          <w:color w:val="000000"/>
        </w:rPr>
      </w:pPr>
      <w:r>
        <w:rPr>
          <w:noProof/>
        </w:rPr>
        <w:drawing>
          <wp:inline distT="0" distB="0" distL="0" distR="0">
            <wp:extent cx="5411060" cy="3329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11060" cy="3329305"/>
                    </a:xfrm>
                    <a:prstGeom prst="rect">
                      <a:avLst/>
                    </a:prstGeom>
                  </pic:spPr>
                </pic:pic>
              </a:graphicData>
            </a:graphic>
          </wp:inline>
        </w:drawing>
      </w:r>
    </w:p>
    <w:p w:rsidR="009073D0" w:rsidRDefault="009073D0" w:rsidP="0059686F">
      <w:pPr>
        <w:keepLines/>
        <w:spacing w:after="0" w:line="240" w:lineRule="auto"/>
        <w:rPr>
          <w:rFonts w:cstheme="minorHAnsi"/>
          <w:color w:val="000000"/>
        </w:rPr>
      </w:pPr>
    </w:p>
    <w:p w:rsidR="008C1CCE" w:rsidRPr="0059686F" w:rsidRDefault="008C1CCE" w:rsidP="0059686F">
      <w:pPr>
        <w:keepLines/>
        <w:spacing w:after="0" w:line="240" w:lineRule="auto"/>
        <w:rPr>
          <w:rFonts w:cstheme="minorHAnsi"/>
          <w:color w:val="000000"/>
        </w:rPr>
      </w:pPr>
    </w:p>
    <w:p w:rsidR="0059686F" w:rsidRPr="0059686F" w:rsidRDefault="0059686F" w:rsidP="0059686F">
      <w:pPr>
        <w:pStyle w:val="ListParagraph"/>
        <w:keepLines/>
        <w:numPr>
          <w:ilvl w:val="0"/>
          <w:numId w:val="6"/>
        </w:numPr>
        <w:spacing w:after="0" w:line="240" w:lineRule="auto"/>
        <w:ind w:left="720"/>
        <w:rPr>
          <w:rFonts w:cstheme="minorHAnsi"/>
          <w:b/>
          <w:color w:val="000000"/>
        </w:rPr>
      </w:pPr>
      <w:r w:rsidRPr="0059686F">
        <w:rPr>
          <w:rFonts w:cstheme="minorHAnsi"/>
          <w:b/>
          <w:color w:val="000000"/>
        </w:rPr>
        <w:t>New Pharmacy Operation Mode column</w:t>
      </w:r>
      <w:r>
        <w:rPr>
          <w:rFonts w:cstheme="minorHAnsi"/>
          <w:b/>
          <w:color w:val="000000"/>
        </w:rPr>
        <w:t xml:space="preserve"> in the </w:t>
      </w:r>
      <w:r w:rsidRPr="0059686F">
        <w:rPr>
          <w:rFonts w:cstheme="minorHAnsi"/>
          <w:b/>
          <w:color w:val="000000"/>
        </w:rPr>
        <w:t xml:space="preserve">Pharmacy Selection </w:t>
      </w:r>
      <w:r w:rsidR="008C1CCE">
        <w:rPr>
          <w:rFonts w:cstheme="minorHAnsi"/>
          <w:b/>
          <w:color w:val="000000"/>
        </w:rPr>
        <w:t>window</w:t>
      </w:r>
    </w:p>
    <w:p w:rsidR="009073D0" w:rsidRDefault="0059686F" w:rsidP="0059686F">
      <w:pPr>
        <w:keepLines/>
        <w:spacing w:after="0" w:line="240" w:lineRule="auto"/>
        <w:ind w:left="720"/>
        <w:rPr>
          <w:rFonts w:cstheme="minorHAnsi"/>
          <w:color w:val="000000"/>
        </w:rPr>
      </w:pPr>
      <w:r>
        <w:rPr>
          <w:rFonts w:cstheme="minorHAnsi"/>
          <w:color w:val="000000"/>
        </w:rPr>
        <w:t>W</w:t>
      </w:r>
      <w:r w:rsidRPr="0059686F">
        <w:rPr>
          <w:rFonts w:cstheme="minorHAnsi"/>
          <w:color w:val="000000"/>
        </w:rPr>
        <w:t xml:space="preserve">hen searching for a pharmacy using the “Fill prescriptions at:” field </w:t>
      </w:r>
      <w:r w:rsidR="008C1CCE">
        <w:rPr>
          <w:rFonts w:cstheme="minorHAnsi"/>
          <w:color w:val="000000"/>
        </w:rPr>
        <w:t xml:space="preserve">the new </w:t>
      </w:r>
      <w:r w:rsidRPr="0059686F">
        <w:rPr>
          <w:rFonts w:cstheme="minorHAnsi"/>
          <w:color w:val="000000"/>
        </w:rPr>
        <w:t xml:space="preserve">Operating Mode column </w:t>
      </w:r>
      <w:r w:rsidR="009073D0" w:rsidRPr="0059686F">
        <w:rPr>
          <w:rFonts w:cstheme="minorHAnsi"/>
          <w:color w:val="000000"/>
        </w:rPr>
        <w:t xml:space="preserve">displays the </w:t>
      </w:r>
      <w:r>
        <w:rPr>
          <w:rFonts w:cstheme="minorHAnsi"/>
          <w:color w:val="000000"/>
        </w:rPr>
        <w:t xml:space="preserve">following </w:t>
      </w:r>
      <w:r w:rsidR="009073D0" w:rsidRPr="0059686F">
        <w:rPr>
          <w:rFonts w:cstheme="minorHAnsi"/>
          <w:color w:val="000000"/>
        </w:rPr>
        <w:t>pharmacy operating mode</w:t>
      </w:r>
      <w:r>
        <w:rPr>
          <w:rFonts w:cstheme="minorHAnsi"/>
          <w:color w:val="000000"/>
        </w:rPr>
        <w:t>s</w:t>
      </w:r>
      <w:r w:rsidR="009073D0" w:rsidRPr="0059686F">
        <w:rPr>
          <w:rFonts w:cstheme="minorHAnsi"/>
          <w:color w:val="000000"/>
        </w:rPr>
        <w:t xml:space="preserve"> coming from the Surescripts database </w:t>
      </w:r>
      <w:r w:rsidR="008C1CCE">
        <w:rPr>
          <w:rFonts w:cstheme="minorHAnsi"/>
          <w:color w:val="000000"/>
        </w:rPr>
        <w:t>(</w:t>
      </w:r>
      <w:r w:rsidR="009073D0" w:rsidRPr="0059686F">
        <w:rPr>
          <w:rFonts w:cstheme="minorHAnsi"/>
          <w:color w:val="000000"/>
        </w:rPr>
        <w:t>if available</w:t>
      </w:r>
      <w:r w:rsidR="008C1CCE">
        <w:rPr>
          <w:rFonts w:cstheme="minorHAnsi"/>
          <w:color w:val="000000"/>
        </w:rPr>
        <w:t>)</w:t>
      </w:r>
      <w:r>
        <w:rPr>
          <w:rFonts w:cstheme="minorHAnsi"/>
          <w:color w:val="000000"/>
        </w:rPr>
        <w:t>:</w:t>
      </w:r>
      <w:r w:rsidR="009073D0" w:rsidRPr="0059686F">
        <w:rPr>
          <w:rFonts w:cstheme="minorHAnsi"/>
          <w:color w:val="000000"/>
        </w:rPr>
        <w:t xml:space="preserve"> </w:t>
      </w:r>
      <w:r w:rsidR="008C1CCE">
        <w:rPr>
          <w:rFonts w:cstheme="minorHAnsi"/>
          <w:color w:val="000000"/>
        </w:rPr>
        <w:t>“</w:t>
      </w:r>
      <w:r w:rsidR="009073D0" w:rsidRPr="0059686F">
        <w:rPr>
          <w:rFonts w:cstheme="minorHAnsi"/>
          <w:color w:val="000000"/>
        </w:rPr>
        <w:t>Retail</w:t>
      </w:r>
      <w:r w:rsidR="008C1CCE">
        <w:rPr>
          <w:rFonts w:cstheme="minorHAnsi"/>
          <w:color w:val="000000"/>
        </w:rPr>
        <w:t>”</w:t>
      </w:r>
      <w:r w:rsidR="009073D0" w:rsidRPr="0059686F">
        <w:rPr>
          <w:rFonts w:cstheme="minorHAnsi"/>
          <w:color w:val="000000"/>
        </w:rPr>
        <w:t xml:space="preserve">, </w:t>
      </w:r>
      <w:r w:rsidR="008C1CCE">
        <w:rPr>
          <w:rFonts w:cstheme="minorHAnsi"/>
          <w:color w:val="000000"/>
        </w:rPr>
        <w:t>“</w:t>
      </w:r>
      <w:r w:rsidR="009073D0" w:rsidRPr="0059686F">
        <w:rPr>
          <w:rFonts w:cstheme="minorHAnsi"/>
          <w:color w:val="000000"/>
        </w:rPr>
        <w:t>Mail Order</w:t>
      </w:r>
      <w:r w:rsidR="008C1CCE">
        <w:rPr>
          <w:rFonts w:cstheme="minorHAnsi"/>
          <w:color w:val="000000"/>
        </w:rPr>
        <w:t>”</w:t>
      </w:r>
      <w:r w:rsidR="009073D0" w:rsidRPr="0059686F">
        <w:rPr>
          <w:rFonts w:cstheme="minorHAnsi"/>
          <w:color w:val="000000"/>
        </w:rPr>
        <w:t xml:space="preserve">, </w:t>
      </w:r>
      <w:r w:rsidR="008C1CCE">
        <w:rPr>
          <w:rFonts w:cstheme="minorHAnsi"/>
          <w:color w:val="000000"/>
        </w:rPr>
        <w:t>“</w:t>
      </w:r>
      <w:r w:rsidR="009073D0" w:rsidRPr="0059686F">
        <w:rPr>
          <w:rFonts w:cstheme="minorHAnsi"/>
          <w:color w:val="000000"/>
        </w:rPr>
        <w:t>Specialty</w:t>
      </w:r>
      <w:r w:rsidR="008C1CCE">
        <w:rPr>
          <w:rFonts w:cstheme="minorHAnsi"/>
          <w:color w:val="000000"/>
        </w:rPr>
        <w:t>”</w:t>
      </w:r>
      <w:r w:rsidR="009073D0" w:rsidRPr="0059686F">
        <w:rPr>
          <w:rFonts w:cstheme="minorHAnsi"/>
          <w:color w:val="000000"/>
        </w:rPr>
        <w:t xml:space="preserve">, and </w:t>
      </w:r>
      <w:r w:rsidR="008C1CCE">
        <w:rPr>
          <w:rFonts w:cstheme="minorHAnsi"/>
          <w:color w:val="000000"/>
        </w:rPr>
        <w:t>“Long-Term Care“.</w:t>
      </w:r>
    </w:p>
    <w:p w:rsidR="0059686F" w:rsidRPr="0059686F" w:rsidRDefault="0059686F" w:rsidP="0059686F">
      <w:pPr>
        <w:keepLines/>
        <w:spacing w:after="0" w:line="240" w:lineRule="auto"/>
        <w:ind w:left="720"/>
        <w:rPr>
          <w:rFonts w:cstheme="minorHAnsi"/>
          <w:color w:val="000000"/>
          <w:sz w:val="12"/>
        </w:rPr>
      </w:pPr>
    </w:p>
    <w:p w:rsidR="009073D0" w:rsidRPr="0059686F" w:rsidRDefault="009073D0" w:rsidP="0059686F">
      <w:pPr>
        <w:keepLines/>
        <w:spacing w:after="0" w:line="240" w:lineRule="auto"/>
        <w:ind w:firstLine="720"/>
        <w:rPr>
          <w:rFonts w:cstheme="minorHAnsi"/>
          <w:color w:val="000000"/>
        </w:rPr>
      </w:pPr>
      <w:r>
        <w:rPr>
          <w:noProof/>
        </w:rPr>
        <w:drawing>
          <wp:inline distT="0" distB="0" distL="0" distR="0">
            <wp:extent cx="5111179" cy="286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1179" cy="2865755"/>
                    </a:xfrm>
                    <a:prstGeom prst="rect">
                      <a:avLst/>
                    </a:prstGeom>
                  </pic:spPr>
                </pic:pic>
              </a:graphicData>
            </a:graphic>
          </wp:inline>
        </w:drawing>
      </w:r>
    </w:p>
    <w:p w:rsidR="009073D0" w:rsidRDefault="009073D0" w:rsidP="009073D0">
      <w:pPr>
        <w:pStyle w:val="ListParagraph"/>
        <w:keepLines/>
        <w:spacing w:after="0" w:line="240" w:lineRule="auto"/>
        <w:rPr>
          <w:rFonts w:cstheme="minorHAnsi"/>
          <w:color w:val="000000"/>
        </w:rPr>
      </w:pPr>
    </w:p>
    <w:p w:rsidR="009073D0" w:rsidRDefault="009073D0" w:rsidP="009073D0">
      <w:pPr>
        <w:pStyle w:val="ListParagraph"/>
        <w:keepLines/>
        <w:spacing w:after="0" w:line="240" w:lineRule="auto"/>
        <w:rPr>
          <w:rFonts w:cstheme="minorHAnsi"/>
          <w:color w:val="000000"/>
        </w:rPr>
      </w:pPr>
    </w:p>
    <w:p w:rsidR="009073D0" w:rsidRDefault="009073D0" w:rsidP="009073D0">
      <w:pPr>
        <w:pStyle w:val="ListParagraph"/>
        <w:keepLines/>
        <w:spacing w:after="0" w:line="240" w:lineRule="auto"/>
        <w:rPr>
          <w:rFonts w:cstheme="minorHAnsi"/>
          <w:color w:val="000000"/>
        </w:rPr>
      </w:pPr>
    </w:p>
    <w:p w:rsidR="009073D0" w:rsidRPr="00370531" w:rsidRDefault="009073D0" w:rsidP="009073D0">
      <w:pPr>
        <w:pStyle w:val="ListParagraph"/>
        <w:keepLines/>
        <w:spacing w:after="0" w:line="240" w:lineRule="auto"/>
        <w:ind w:left="1440"/>
        <w:rPr>
          <w:rFonts w:cstheme="minorHAnsi"/>
          <w:color w:val="000000"/>
        </w:rPr>
      </w:pPr>
    </w:p>
    <w:p w:rsidR="008C1CCE" w:rsidRPr="008C1CCE" w:rsidRDefault="008C1CCE" w:rsidP="008C1CCE">
      <w:pPr>
        <w:pStyle w:val="ListParagraph"/>
        <w:keepLines/>
        <w:numPr>
          <w:ilvl w:val="0"/>
          <w:numId w:val="6"/>
        </w:numPr>
        <w:spacing w:after="0" w:line="240" w:lineRule="auto"/>
        <w:ind w:left="720"/>
        <w:rPr>
          <w:rFonts w:cstheme="minorHAnsi"/>
          <w:color w:val="000000"/>
        </w:rPr>
      </w:pPr>
      <w:r w:rsidRPr="008C1CCE">
        <w:rPr>
          <w:rFonts w:cstheme="minorHAnsi"/>
          <w:b/>
          <w:color w:val="000000"/>
        </w:rPr>
        <w:t>Specific Dispense unit changes</w:t>
      </w:r>
    </w:p>
    <w:p w:rsidR="009073D0" w:rsidRPr="008C1CCE" w:rsidRDefault="008C1CCE" w:rsidP="008C1CCE">
      <w:pPr>
        <w:pStyle w:val="ListParagraph"/>
        <w:keepLines/>
        <w:spacing w:after="0" w:line="240" w:lineRule="auto"/>
        <w:rPr>
          <w:rFonts w:cstheme="minorHAnsi"/>
          <w:color w:val="000000"/>
        </w:rPr>
      </w:pPr>
      <w:r>
        <w:rPr>
          <w:rFonts w:cstheme="minorHAnsi"/>
          <w:color w:val="000000"/>
        </w:rPr>
        <w:t>Fo</w:t>
      </w:r>
      <w:r w:rsidR="009073D0" w:rsidRPr="008C1CCE">
        <w:rPr>
          <w:rFonts w:cstheme="minorHAnsi"/>
          <w:color w:val="000000"/>
        </w:rPr>
        <w:t xml:space="preserve">r specific </w:t>
      </w:r>
      <w:r w:rsidR="009073D0" w:rsidRPr="008C1CCE">
        <w:rPr>
          <w:rFonts w:cstheme="minorHAnsi"/>
          <w:color w:val="000000"/>
          <w:u w:val="single"/>
        </w:rPr>
        <w:t>rarely</w:t>
      </w:r>
      <w:r w:rsidR="009073D0" w:rsidRPr="008C1CCE">
        <w:rPr>
          <w:rFonts w:cstheme="minorHAnsi"/>
          <w:color w:val="000000"/>
        </w:rPr>
        <w:t xml:space="preserve"> used dispense qualifiers - International Unit, Million Unit, and Unit that may be requested by the pharmacy for Refill Requests</w:t>
      </w:r>
      <w:r>
        <w:rPr>
          <w:rFonts w:cstheme="minorHAnsi"/>
          <w:color w:val="000000"/>
        </w:rPr>
        <w:t xml:space="preserve"> - </w:t>
      </w:r>
      <w:r w:rsidR="009073D0" w:rsidRPr="008C1CCE">
        <w:rPr>
          <w:rFonts w:cstheme="minorHAnsi"/>
          <w:color w:val="000000"/>
        </w:rPr>
        <w:t>the provider will see “stop signs” on the Dispense fields of the order composer once</w:t>
      </w:r>
      <w:r>
        <w:rPr>
          <w:rFonts w:cstheme="minorHAnsi"/>
          <w:color w:val="000000"/>
        </w:rPr>
        <w:t xml:space="preserve"> the</w:t>
      </w:r>
      <w:r w:rsidR="009073D0" w:rsidRPr="008C1CCE">
        <w:rPr>
          <w:rFonts w:cstheme="minorHAnsi"/>
          <w:color w:val="000000"/>
        </w:rPr>
        <w:t xml:space="preserve"> refill request is Approved or Edited.  This is due to the NCPDP (National Council for Prescription Drug Programs) standard change where specific units cannot be mapped to units in CS-Link. </w:t>
      </w:r>
      <w:r>
        <w:rPr>
          <w:rFonts w:cstheme="minorHAnsi"/>
          <w:color w:val="000000"/>
        </w:rPr>
        <w:t xml:space="preserve"> </w:t>
      </w:r>
      <w:r w:rsidR="009073D0" w:rsidRPr="008C1CCE">
        <w:rPr>
          <w:rFonts w:cstheme="minorHAnsi"/>
          <w:color w:val="000000"/>
        </w:rPr>
        <w:t>Providers will have to enter the correct dispense information when sending the refill request back to the pharmacy. The “Requested dispense” field is available for providers to refer to when entering dispense information.</w:t>
      </w:r>
    </w:p>
    <w:p w:rsidR="008C1CCE" w:rsidRPr="008C1CCE" w:rsidRDefault="008C1CCE" w:rsidP="008C1CCE">
      <w:pPr>
        <w:pStyle w:val="ListParagraph"/>
        <w:keepLines/>
        <w:spacing w:after="0" w:line="240" w:lineRule="auto"/>
        <w:rPr>
          <w:rFonts w:cstheme="minorHAnsi"/>
          <w:color w:val="000000"/>
          <w:sz w:val="12"/>
        </w:rPr>
      </w:pPr>
    </w:p>
    <w:p w:rsidR="009073D0" w:rsidRPr="008C1CCE" w:rsidRDefault="009073D0" w:rsidP="008C1CCE">
      <w:pPr>
        <w:keepLines/>
        <w:spacing w:after="0" w:line="240" w:lineRule="auto"/>
        <w:ind w:firstLine="720"/>
        <w:rPr>
          <w:rFonts w:cstheme="minorHAnsi"/>
          <w:b/>
          <w:color w:val="000000"/>
        </w:rPr>
      </w:pPr>
      <w:r>
        <w:rPr>
          <w:noProof/>
        </w:rPr>
        <w:drawing>
          <wp:inline distT="0" distB="0" distL="0" distR="0">
            <wp:extent cx="5153025" cy="32506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2382" cy="3250217"/>
                    </a:xfrm>
                    <a:prstGeom prst="rect">
                      <a:avLst/>
                    </a:prstGeom>
                  </pic:spPr>
                </pic:pic>
              </a:graphicData>
            </a:graphic>
          </wp:inline>
        </w:drawing>
      </w:r>
    </w:p>
    <w:p w:rsidR="00CF3637" w:rsidRDefault="00CF3637" w:rsidP="00AF4CAE">
      <w:pPr>
        <w:spacing w:after="0" w:line="240" w:lineRule="auto"/>
        <w:ind w:left="720"/>
        <w:rPr>
          <w:rFonts w:eastAsia="Times New Roman" w:cs="Times New Roman"/>
          <w:bCs/>
          <w:szCs w:val="24"/>
        </w:rPr>
      </w:pPr>
    </w:p>
    <w:p w:rsidR="00DB6826" w:rsidRDefault="00DB6826" w:rsidP="00AF4CAE">
      <w:pPr>
        <w:spacing w:after="0" w:line="240" w:lineRule="auto"/>
        <w:ind w:left="720"/>
        <w:rPr>
          <w:rFonts w:eastAsia="Times New Roman" w:cs="Times New Roman"/>
          <w:bCs/>
          <w:szCs w:val="24"/>
        </w:rPr>
      </w:pPr>
    </w:p>
    <w:p w:rsidR="00D4086E" w:rsidRPr="00DB6826" w:rsidRDefault="00D4086E" w:rsidP="00AF4CAE">
      <w:pPr>
        <w:spacing w:after="0" w:line="240" w:lineRule="auto"/>
        <w:ind w:left="720"/>
        <w:rPr>
          <w:rFonts w:eastAsia="Times New Roman" w:cs="Times New Roman"/>
          <w:bCs/>
          <w:szCs w:val="24"/>
        </w:rPr>
      </w:pPr>
    </w:p>
    <w:p w:rsidR="00AF4CAE" w:rsidRPr="00DB6826" w:rsidRDefault="00AF4CAE" w:rsidP="00AF4CAE">
      <w:pPr>
        <w:rPr>
          <w:rFonts w:eastAsia="Times New Roman" w:cs="Calibri"/>
        </w:rPr>
      </w:pPr>
      <w:r w:rsidRPr="00DB6826">
        <w:rPr>
          <w:noProof/>
        </w:rPr>
        <w:drawing>
          <wp:inline distT="0" distB="0" distL="0" distR="0">
            <wp:extent cx="314738"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4699" cy="285714"/>
                    </a:xfrm>
                    <a:prstGeom prst="rect">
                      <a:avLst/>
                    </a:prstGeom>
                  </pic:spPr>
                </pic:pic>
              </a:graphicData>
            </a:graphic>
          </wp:inline>
        </w:drawing>
      </w:r>
      <w:r w:rsidRPr="00DB6826">
        <w:rPr>
          <w:rFonts w:eastAsia="Times New Roman" w:cs="Times New Roman"/>
        </w:rPr>
        <w:t xml:space="preserve"> </w:t>
      </w:r>
      <w:r w:rsidR="00DB6826">
        <w:rPr>
          <w:rFonts w:eastAsia="Times New Roman" w:cs="Times New Roman"/>
        </w:rPr>
        <w:t xml:space="preserve">   </w:t>
      </w:r>
      <w:r w:rsidRPr="00DB6826">
        <w:rPr>
          <w:rFonts w:eastAsia="Times New Roman" w:cs="Calibri"/>
        </w:rPr>
        <w:t>This improvement will:</w:t>
      </w:r>
    </w:p>
    <w:p w:rsidR="00944180" w:rsidRPr="00E860DC" w:rsidRDefault="00E860DC" w:rsidP="00E540F1">
      <w:pPr>
        <w:numPr>
          <w:ilvl w:val="0"/>
          <w:numId w:val="1"/>
        </w:numPr>
        <w:contextualSpacing/>
      </w:pPr>
      <w:bookmarkStart w:id="0" w:name="_GoBack"/>
      <w:bookmarkEnd w:id="0"/>
      <w:r>
        <w:rPr>
          <w:rFonts w:ascii="Calibri" w:eastAsia="Times New Roman" w:hAnsi="Calibri" w:cs="Calibri"/>
          <w:bCs/>
          <w:sz w:val="24"/>
          <w:szCs w:val="24"/>
        </w:rPr>
        <w:t>Bring Cedars into compliance with NCPDP standards</w:t>
      </w:r>
    </w:p>
    <w:p w:rsidR="00E860DC" w:rsidRPr="00E540F1" w:rsidRDefault="00E860DC" w:rsidP="00E540F1">
      <w:pPr>
        <w:numPr>
          <w:ilvl w:val="0"/>
          <w:numId w:val="1"/>
        </w:numPr>
        <w:contextualSpacing/>
      </w:pPr>
      <w:r>
        <w:rPr>
          <w:rFonts w:ascii="Calibri" w:eastAsia="Times New Roman" w:hAnsi="Calibri" w:cs="Calibri"/>
          <w:bCs/>
          <w:sz w:val="24"/>
          <w:szCs w:val="24"/>
        </w:rPr>
        <w:t>Fulfill a necessary requirement for the CS-Link  Upgrade (EPIC version 2012)</w:t>
      </w:r>
    </w:p>
    <w:sectPr w:rsidR="00E860DC" w:rsidRPr="00E540F1" w:rsidSect="00590F99">
      <w:headerReference w:type="default" r:id="rId20"/>
      <w:footerReference w:type="default" r:id="rId21"/>
      <w:pgSz w:w="12240" w:h="15840" w:code="1"/>
      <w:pgMar w:top="1080" w:right="1080" w:bottom="1080" w:left="1080" w:footer="432"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3CC" w:rsidRDefault="003B43CC">
      <w:pPr>
        <w:spacing w:after="0" w:line="240" w:lineRule="auto"/>
      </w:pPr>
      <w:r>
        <w:separator/>
      </w:r>
    </w:p>
  </w:endnote>
  <w:endnote w:type="continuationSeparator" w:id="0">
    <w:p w:rsidR="003B43CC" w:rsidRDefault="003B4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Franklin Gothic Book">
    <w:panose1 w:val="020B0503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676029"/>
      <w:docPartObj>
        <w:docPartGallery w:val="Page Numbers (Bottom of Page)"/>
        <w:docPartUnique/>
      </w:docPartObj>
    </w:sdtPr>
    <w:sdtEndPr>
      <w:rPr>
        <w:noProof/>
      </w:rPr>
    </w:sdtEndPr>
    <w:sdtContent>
      <w:p w:rsidR="00EF7328" w:rsidRPr="001117FD" w:rsidRDefault="001117FD" w:rsidP="001117FD">
        <w:pPr>
          <w:pStyle w:val="Footer"/>
          <w:jc w:val="center"/>
          <w:rPr>
            <w:i/>
          </w:rPr>
        </w:pPr>
        <w:r w:rsidRPr="00FF28E4">
          <w:rPr>
            <w:i/>
          </w:rPr>
          <w:t>For further informat</w:t>
        </w:r>
        <w:r>
          <w:rPr>
            <w:i/>
          </w:rPr>
          <w:t>ion contact User Support at 310-42</w:t>
        </w:r>
        <w:r w:rsidRPr="00FF28E4">
          <w:rPr>
            <w:i/>
          </w:rPr>
          <w:t>3-2828</w:t>
        </w:r>
        <w:r>
          <w:rPr>
            <w:i/>
          </w:rPr>
          <w:t xml:space="preserve"> or visit </w:t>
        </w:r>
        <w:hyperlink r:id="rId1" w:history="1">
          <w:r w:rsidRPr="00C76E93">
            <w:rPr>
              <w:rStyle w:val="Hyperlink"/>
              <w:i/>
            </w:rPr>
            <w:t>www.CSLINKCENTRAL.com</w:t>
          </w:r>
        </w:hyperlink>
        <w:r>
          <w:rPr>
            <w:i/>
          </w:rPr>
          <w:t xml:space="preserve"> </w:t>
        </w:r>
      </w:p>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3CC" w:rsidRDefault="003B43CC">
      <w:pPr>
        <w:spacing w:after="0" w:line="240" w:lineRule="auto"/>
      </w:pPr>
      <w:r>
        <w:separator/>
      </w:r>
    </w:p>
  </w:footnote>
  <w:footnote w:type="continuationSeparator" w:id="0">
    <w:p w:rsidR="003B43CC" w:rsidRDefault="003B43C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429" w:rsidRDefault="00EA0B6E" w:rsidP="00D81429">
    <w:pPr>
      <w:pStyle w:val="Header"/>
      <w:jc w:val="right"/>
    </w:pPr>
    <w:r>
      <w:rPr>
        <w:b/>
        <w:noProof/>
        <w:sz w:val="32"/>
        <w:szCs w:val="32"/>
      </w:rPr>
      <w:drawing>
        <wp:inline distT="0" distB="0" distL="0" distR="0">
          <wp:extent cx="852221" cy="228600"/>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Link-eMail.jp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852221" cy="228600"/>
                  </a:xfrm>
                  <a:prstGeom prst="rect">
                    <a:avLst/>
                  </a:prstGeom>
                </pic:spPr>
              </pic:pic>
            </a:graphicData>
          </a:graphic>
        </wp:inline>
      </w:drawing>
    </w:r>
  </w:p>
  <w:p w:rsidR="00CF30CF" w:rsidRPr="00CF30CF" w:rsidRDefault="00CF30CF" w:rsidP="00D81429">
    <w:pPr>
      <w:pStyle w:val="Header"/>
      <w:jc w:val="right"/>
      <w:rPr>
        <w:sz w:val="4"/>
      </w:rPr>
    </w:pPr>
  </w:p>
  <w:p w:rsidR="00A77B6A" w:rsidRPr="00A77B6A" w:rsidRDefault="00A77B6A" w:rsidP="00D81429">
    <w:pPr>
      <w:pStyle w:val="Header"/>
      <w:jc w:val="right"/>
      <w:rPr>
        <w:sz w:val="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13BC2"/>
    <w:multiLevelType w:val="hybridMultilevel"/>
    <w:tmpl w:val="BCD4A66E"/>
    <w:lvl w:ilvl="0" w:tplc="399434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D1664E"/>
    <w:multiLevelType w:val="hybridMultilevel"/>
    <w:tmpl w:val="E54E819A"/>
    <w:lvl w:ilvl="0" w:tplc="77AA5AD4">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EE811A5"/>
    <w:multiLevelType w:val="hybridMultilevel"/>
    <w:tmpl w:val="5A389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3A343A"/>
    <w:multiLevelType w:val="hybridMultilevel"/>
    <w:tmpl w:val="28268B70"/>
    <w:lvl w:ilvl="0" w:tplc="11540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E2C13"/>
    <w:multiLevelType w:val="hybridMultilevel"/>
    <w:tmpl w:val="54441D2A"/>
    <w:lvl w:ilvl="0" w:tplc="AE4E6D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A985D07"/>
    <w:multiLevelType w:val="hybridMultilevel"/>
    <w:tmpl w:val="58A0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footnotePr>
    <w:footnote w:id="-1"/>
    <w:footnote w:id="0"/>
  </w:footnotePr>
  <w:endnotePr>
    <w:endnote w:id="-1"/>
    <w:endnote w:id="0"/>
  </w:endnotePr>
  <w:compat/>
  <w:rsids>
    <w:rsidRoot w:val="00EA0B6E"/>
    <w:rsid w:val="00013343"/>
    <w:rsid w:val="00054042"/>
    <w:rsid w:val="000D1F97"/>
    <w:rsid w:val="000D34CB"/>
    <w:rsid w:val="000F5057"/>
    <w:rsid w:val="001049CA"/>
    <w:rsid w:val="001117FD"/>
    <w:rsid w:val="0012678F"/>
    <w:rsid w:val="00132BD1"/>
    <w:rsid w:val="00142F1B"/>
    <w:rsid w:val="00153F61"/>
    <w:rsid w:val="001667CA"/>
    <w:rsid w:val="0018081A"/>
    <w:rsid w:val="001B5349"/>
    <w:rsid w:val="001D4753"/>
    <w:rsid w:val="001E4E8A"/>
    <w:rsid w:val="001E6DD5"/>
    <w:rsid w:val="00205393"/>
    <w:rsid w:val="00206BD9"/>
    <w:rsid w:val="00212655"/>
    <w:rsid w:val="002A7786"/>
    <w:rsid w:val="002C055B"/>
    <w:rsid w:val="002D2EC1"/>
    <w:rsid w:val="00323FD0"/>
    <w:rsid w:val="00355F13"/>
    <w:rsid w:val="00394A04"/>
    <w:rsid w:val="003A356D"/>
    <w:rsid w:val="003B43CC"/>
    <w:rsid w:val="003B6F3A"/>
    <w:rsid w:val="003C23D9"/>
    <w:rsid w:val="003C3897"/>
    <w:rsid w:val="003D61DD"/>
    <w:rsid w:val="004556CD"/>
    <w:rsid w:val="004620BF"/>
    <w:rsid w:val="004B3C79"/>
    <w:rsid w:val="004D4CCB"/>
    <w:rsid w:val="004E3527"/>
    <w:rsid w:val="004F1210"/>
    <w:rsid w:val="00511E9A"/>
    <w:rsid w:val="00516D03"/>
    <w:rsid w:val="00523555"/>
    <w:rsid w:val="00552776"/>
    <w:rsid w:val="005562C6"/>
    <w:rsid w:val="00590F99"/>
    <w:rsid w:val="00591D74"/>
    <w:rsid w:val="0059686F"/>
    <w:rsid w:val="005A02F2"/>
    <w:rsid w:val="005A726D"/>
    <w:rsid w:val="005B13FB"/>
    <w:rsid w:val="005B63E8"/>
    <w:rsid w:val="005B6C74"/>
    <w:rsid w:val="005D6CBD"/>
    <w:rsid w:val="005E1D8B"/>
    <w:rsid w:val="00632457"/>
    <w:rsid w:val="006551EB"/>
    <w:rsid w:val="006572B6"/>
    <w:rsid w:val="0067698D"/>
    <w:rsid w:val="006856DE"/>
    <w:rsid w:val="006D3904"/>
    <w:rsid w:val="006F75A4"/>
    <w:rsid w:val="00770A47"/>
    <w:rsid w:val="00770B7E"/>
    <w:rsid w:val="00784E04"/>
    <w:rsid w:val="00817CEB"/>
    <w:rsid w:val="008343A2"/>
    <w:rsid w:val="008371DF"/>
    <w:rsid w:val="00860BFE"/>
    <w:rsid w:val="008728D9"/>
    <w:rsid w:val="00891F1C"/>
    <w:rsid w:val="00897A81"/>
    <w:rsid w:val="008A392B"/>
    <w:rsid w:val="008A4354"/>
    <w:rsid w:val="008A6BB8"/>
    <w:rsid w:val="008C1CCE"/>
    <w:rsid w:val="008D003A"/>
    <w:rsid w:val="008E7819"/>
    <w:rsid w:val="008F7F6A"/>
    <w:rsid w:val="009073D0"/>
    <w:rsid w:val="009173AE"/>
    <w:rsid w:val="009227F8"/>
    <w:rsid w:val="00944180"/>
    <w:rsid w:val="00995B96"/>
    <w:rsid w:val="009A16F1"/>
    <w:rsid w:val="009A3A86"/>
    <w:rsid w:val="00A11356"/>
    <w:rsid w:val="00A24526"/>
    <w:rsid w:val="00A25DB0"/>
    <w:rsid w:val="00A2644D"/>
    <w:rsid w:val="00A4083D"/>
    <w:rsid w:val="00A77B6A"/>
    <w:rsid w:val="00A8340D"/>
    <w:rsid w:val="00A9619C"/>
    <w:rsid w:val="00AA40C9"/>
    <w:rsid w:val="00AA6510"/>
    <w:rsid w:val="00AF4CAE"/>
    <w:rsid w:val="00B07108"/>
    <w:rsid w:val="00B14930"/>
    <w:rsid w:val="00B21615"/>
    <w:rsid w:val="00B41946"/>
    <w:rsid w:val="00B4383C"/>
    <w:rsid w:val="00B46FAB"/>
    <w:rsid w:val="00BA64BF"/>
    <w:rsid w:val="00BA7EE1"/>
    <w:rsid w:val="00BB0DFC"/>
    <w:rsid w:val="00BF5DF2"/>
    <w:rsid w:val="00C050BF"/>
    <w:rsid w:val="00C87A11"/>
    <w:rsid w:val="00CF30CF"/>
    <w:rsid w:val="00CF3637"/>
    <w:rsid w:val="00D05486"/>
    <w:rsid w:val="00D10569"/>
    <w:rsid w:val="00D33406"/>
    <w:rsid w:val="00D4086E"/>
    <w:rsid w:val="00D555FA"/>
    <w:rsid w:val="00D734E4"/>
    <w:rsid w:val="00D815FC"/>
    <w:rsid w:val="00D909CC"/>
    <w:rsid w:val="00DB6826"/>
    <w:rsid w:val="00DB7B24"/>
    <w:rsid w:val="00DC4E52"/>
    <w:rsid w:val="00DC78C4"/>
    <w:rsid w:val="00E137E0"/>
    <w:rsid w:val="00E540F1"/>
    <w:rsid w:val="00E60E72"/>
    <w:rsid w:val="00E67A58"/>
    <w:rsid w:val="00E705FB"/>
    <w:rsid w:val="00E821F5"/>
    <w:rsid w:val="00E860DC"/>
    <w:rsid w:val="00EA0B6E"/>
    <w:rsid w:val="00EB571F"/>
    <w:rsid w:val="00EB65F6"/>
    <w:rsid w:val="00EC6770"/>
    <w:rsid w:val="00EE18D4"/>
    <w:rsid w:val="00EF7328"/>
    <w:rsid w:val="00F02372"/>
    <w:rsid w:val="00F40CD0"/>
    <w:rsid w:val="00F43BD0"/>
    <w:rsid w:val="00FB54C6"/>
    <w:rsid w:val="00FB6151"/>
    <w:rsid w:val="00FB7493"/>
  </w:rsids>
  <m:mathPr>
    <m:mathFont m:val="Franklin Gothic Boo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B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TableGrid1">
    <w:name w:val="Table Grid1"/>
    <w:basedOn w:val="TableNormal"/>
    <w:next w:val="TableGrid"/>
    <w:uiPriority w:val="59"/>
    <w:rsid w:val="00EA0B6E"/>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A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6E"/>
  </w:style>
  <w:style w:type="table" w:styleId="TableGrid">
    <w:name w:val="Table Grid"/>
    <w:basedOn w:val="TableNormal"/>
    <w:uiPriority w:val="59"/>
    <w:rsid w:val="00EA0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6E"/>
    <w:rPr>
      <w:rFonts w:ascii="Tahoma" w:hAnsi="Tahoma" w:cs="Tahoma"/>
      <w:sz w:val="16"/>
      <w:szCs w:val="16"/>
    </w:rPr>
  </w:style>
  <w:style w:type="paragraph" w:styleId="Footer">
    <w:name w:val="footer"/>
    <w:basedOn w:val="Normal"/>
    <w:link w:val="FooterChar"/>
    <w:uiPriority w:val="99"/>
    <w:unhideWhenUsed/>
    <w:rsid w:val="00EF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28"/>
  </w:style>
  <w:style w:type="paragraph" w:styleId="ListParagraph">
    <w:name w:val="List Paragraph"/>
    <w:basedOn w:val="Normal"/>
    <w:uiPriority w:val="34"/>
    <w:qFormat/>
    <w:rsid w:val="00DC78C4"/>
    <w:pPr>
      <w:ind w:left="720"/>
      <w:contextualSpacing/>
    </w:pPr>
  </w:style>
  <w:style w:type="character" w:styleId="Hyperlink">
    <w:name w:val="Hyperlink"/>
    <w:basedOn w:val="DefaultParagraphFont"/>
    <w:uiPriority w:val="99"/>
    <w:unhideWhenUsed/>
    <w:rsid w:val="001117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B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A0B6E"/>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A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6E"/>
  </w:style>
  <w:style w:type="table" w:styleId="TableGrid">
    <w:name w:val="Table Grid"/>
    <w:basedOn w:val="TableNormal"/>
    <w:uiPriority w:val="59"/>
    <w:rsid w:val="00EA0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6E"/>
    <w:rPr>
      <w:rFonts w:ascii="Tahoma" w:hAnsi="Tahoma" w:cs="Tahoma"/>
      <w:sz w:val="16"/>
      <w:szCs w:val="16"/>
    </w:rPr>
  </w:style>
  <w:style w:type="paragraph" w:styleId="Footer">
    <w:name w:val="footer"/>
    <w:basedOn w:val="Normal"/>
    <w:link w:val="FooterChar"/>
    <w:uiPriority w:val="99"/>
    <w:unhideWhenUsed/>
    <w:rsid w:val="00EF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28"/>
  </w:style>
  <w:style w:type="paragraph" w:styleId="ListParagraph">
    <w:name w:val="List Paragraph"/>
    <w:basedOn w:val="Normal"/>
    <w:uiPriority w:val="34"/>
    <w:qFormat/>
    <w:rsid w:val="00DC78C4"/>
    <w:pPr>
      <w:ind w:left="720"/>
      <w:contextualSpacing/>
    </w:pPr>
  </w:style>
  <w:style w:type="character" w:styleId="Hyperlink">
    <w:name w:val="Hyperlink"/>
    <w:basedOn w:val="DefaultParagraphFont"/>
    <w:uiPriority w:val="99"/>
    <w:unhideWhenUsed/>
    <w:rsid w:val="001117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07/relationships/stylesWithEffects" Target="stylesWithEffects.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png"/><Relationship Id="rId13" Type="http://schemas.openxmlformats.org/officeDocument/2006/relationships/hyperlink" Target="http://www.cslinkcentral.org/wp-content/uploads/2013/09/JAALL0037_LinkMedicationButton.pdf" TargetMode="External"/><Relationship Id="rId14" Type="http://schemas.openxmlformats.org/officeDocument/2006/relationships/hyperlink" Target="http://www.cslinkcentral.com"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CSLINKCENTR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171D14BD28A446872574754C91B458" ma:contentTypeVersion="0" ma:contentTypeDescription="Create a new document." ma:contentTypeScope="" ma:versionID="80bee7ddb54f8e680c1157f3523d0e5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8DE4E8D-4070-486B-B1A8-68492ABC5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EC54669-C643-4B0C-919F-23BB14D1056F}">
  <ds:schemaRefs>
    <ds:schemaRef ds:uri="http://schemas.microsoft.com/sharepoint/v3/contenttype/forms"/>
  </ds:schemaRefs>
</ds:datastoreItem>
</file>

<file path=customXml/itemProps3.xml><?xml version="1.0" encoding="utf-8"?>
<ds:datastoreItem xmlns:ds="http://schemas.openxmlformats.org/officeDocument/2006/customXml" ds:itemID="{A9DCA59A-7E7B-450C-9BB2-8651334AB043}">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Zuker</dc:creator>
  <cp:lastModifiedBy>Kim Buhr</cp:lastModifiedBy>
  <cp:revision>2</cp:revision>
  <dcterms:created xsi:type="dcterms:W3CDTF">2013-10-06T23:25:00Z</dcterms:created>
  <dcterms:modified xsi:type="dcterms:W3CDTF">2013-10-06T23:25:00Z</dcterms:modified>
</cp:coreProperties>
</file>