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E15" w:rsidRPr="00F928EA" w:rsidRDefault="000A1218" w:rsidP="005D4E15">
      <w:pPr>
        <w:pStyle w:val="Heading2"/>
        <w:numPr>
          <w:ilvl w:val="0"/>
          <w:numId w:val="0"/>
        </w:numPr>
        <w:rPr>
          <w:rFonts w:ascii="Arial Narrow" w:hAnsi="Arial Narrow"/>
          <w:szCs w:val="32"/>
        </w:rPr>
      </w:pPr>
      <w:r>
        <w:t xml:space="preserve">Test Procedure for </w:t>
      </w:r>
      <w:r w:rsidR="00DC357D">
        <w:rPr>
          <w:rFonts w:ascii="Times New Roman" w:hAnsi="Times New Roman"/>
          <w:sz w:val="24"/>
          <w:szCs w:val="24"/>
        </w:rPr>
        <w:t>§</w:t>
      </w:r>
      <w:r w:rsidR="00E25BB1">
        <w:rPr>
          <w:b w:val="0"/>
        </w:rPr>
        <w:t>170.3</w:t>
      </w:r>
      <w:r w:rsidR="00453496">
        <w:rPr>
          <w:b w:val="0"/>
        </w:rPr>
        <w:t>14</w:t>
      </w:r>
      <w:r w:rsidR="00902B4D">
        <w:rPr>
          <w:b w:val="0"/>
        </w:rPr>
        <w:t>(</w:t>
      </w:r>
      <w:r w:rsidR="00F928EA">
        <w:rPr>
          <w:b w:val="0"/>
        </w:rPr>
        <w:t>f</w:t>
      </w:r>
      <w:proofErr w:type="gramStart"/>
      <w:r w:rsidR="00DC357D" w:rsidRPr="00D50B8A">
        <w:rPr>
          <w:b w:val="0"/>
        </w:rPr>
        <w:t>)</w:t>
      </w:r>
      <w:r w:rsidR="00453496">
        <w:rPr>
          <w:b w:val="0"/>
        </w:rPr>
        <w:t>(</w:t>
      </w:r>
      <w:proofErr w:type="gramEnd"/>
      <w:r w:rsidR="00F928EA">
        <w:rPr>
          <w:b w:val="0"/>
        </w:rPr>
        <w:t>2</w:t>
      </w:r>
      <w:r w:rsidR="00453496">
        <w:rPr>
          <w:b w:val="0"/>
        </w:rPr>
        <w:t>)</w:t>
      </w:r>
      <w:r w:rsidR="00DC357D" w:rsidRPr="006B1D34">
        <w:t xml:space="preserve"> </w:t>
      </w:r>
      <w:r w:rsidR="00A523F4">
        <w:rPr>
          <w:rFonts w:ascii="Arial Narrow" w:hAnsi="Arial Narrow" w:cs="Calibri"/>
          <w:szCs w:val="32"/>
        </w:rPr>
        <w:t>Transmission to Immunization R</w:t>
      </w:r>
      <w:r w:rsidR="00F928EA" w:rsidRPr="00F928EA">
        <w:rPr>
          <w:rFonts w:ascii="Arial Narrow" w:hAnsi="Arial Narrow" w:cs="Calibri"/>
          <w:szCs w:val="32"/>
        </w:rPr>
        <w:t>egistries</w:t>
      </w:r>
    </w:p>
    <w:p w:rsidR="000E2C81" w:rsidRPr="00557247" w:rsidRDefault="000E2C81" w:rsidP="000E2C81">
      <w:pPr>
        <w:autoSpaceDE w:val="0"/>
        <w:autoSpaceDN w:val="0"/>
        <w:adjustRightInd w:val="0"/>
        <w:spacing w:line="300" w:lineRule="atLeast"/>
        <w:rPr>
          <w:rFonts w:eastAsia="Calibri" w:cs="Arial"/>
          <w:bCs/>
        </w:rPr>
      </w:pPr>
      <w:r w:rsidRPr="00DA33B1">
        <w:t>This document describes the test procedure for evaluating conformance of complete EHRs or EHR modules</w:t>
      </w:r>
      <w:r w:rsidRPr="00DA33B1">
        <w:rPr>
          <w:rStyle w:val="FootnoteReference"/>
        </w:rPr>
        <w:footnoteReference w:id="1"/>
      </w:r>
      <w:r w:rsidRPr="00DA33B1">
        <w:t xml:space="preserve"> to the certification criteria defined in 45 CFR Part 170 Subpart C of the </w:t>
      </w:r>
      <w:r w:rsidRPr="00557247">
        <w:rPr>
          <w:rFonts w:eastAsia="Calibri" w:cs="Arial"/>
          <w:bCs/>
        </w:rPr>
        <w:t>Health Information Technology: Standards, Implementation Specifications, and Certification Criteria for Electronic Health Record Technology, 2014 Edition; Revisions to the Permanent Certification Program for Health Information Technology</w:t>
      </w:r>
      <w:r>
        <w:rPr>
          <w:rFonts w:eastAsia="Calibri" w:cs="Arial"/>
          <w:bCs/>
        </w:rPr>
        <w:t xml:space="preserve">, </w:t>
      </w:r>
      <w:r w:rsidRPr="00DA33B1">
        <w:t xml:space="preserve">Final </w:t>
      </w:r>
      <w:r w:rsidRPr="00DA33B1">
        <w:rPr>
          <w:rFonts w:cs="Arial"/>
        </w:rPr>
        <w:t>Rule.</w:t>
      </w:r>
      <w:r w:rsidRPr="00DA33B1">
        <w:t xml:space="preserve">  The document</w:t>
      </w:r>
      <w:r w:rsidRPr="00DA33B1">
        <w:rPr>
          <w:rStyle w:val="FootnoteReference"/>
        </w:rPr>
        <w:footnoteReference w:id="2"/>
      </w:r>
      <w:r w:rsidRPr="00DA33B1">
        <w:t xml:space="preserve"> is organized by test procedure and derived test requirements with traceability to the normative certification criteria as described in the Overview document located at</w:t>
      </w:r>
      <w:r>
        <w:t xml:space="preserve"> [</w:t>
      </w:r>
      <w:r w:rsidRPr="00EE103D">
        <w:rPr>
          <w:highlight w:val="yellow"/>
        </w:rPr>
        <w:t>TBD</w:t>
      </w:r>
      <w:r>
        <w:t>]</w:t>
      </w:r>
      <w:r w:rsidRPr="00DA33B1">
        <w:t>.  The test procedures may be updated to reflect on-going feedback received during the certification activities.</w:t>
      </w:r>
    </w:p>
    <w:p w:rsidR="000E2C81" w:rsidRPr="00DA33B1" w:rsidRDefault="000E2C81" w:rsidP="000E2C81">
      <w:pPr>
        <w:spacing w:line="300" w:lineRule="atLeast"/>
      </w:pPr>
    </w:p>
    <w:p w:rsidR="000E2C81" w:rsidRDefault="000E2C81" w:rsidP="000E2C81">
      <w:pPr>
        <w:spacing w:line="300" w:lineRule="atLeast"/>
      </w:pPr>
      <w:r>
        <w:t>The HHS/Office of the National Coordinator for Health Information Technology (ONC) has defined the standards, implementation guides and certification criteria used in this test procedure.  Applicability and interpretation of the standards, implementation guides and certification criteria to EHR technology is determined by ONC.  Testing of EHR technology in the Permanent Certification Program, henceforth referred to as the ONC HIT Certification Program</w:t>
      </w:r>
      <w:r>
        <w:rPr>
          <w:vertAlign w:val="superscript"/>
        </w:rPr>
        <w:t>1</w:t>
      </w:r>
      <w:r>
        <w:t>, is carried out by National Volunteerism Laboratory Accreditation Program-Accredited Testing Laboratories (ATLs) as set forth in the final rule establishing the Permanent Certification Program (</w:t>
      </w:r>
      <w:r>
        <w:rPr>
          <w:i/>
        </w:rPr>
        <w:t xml:space="preserve">Establishment of the Permanent Certification Program for Health Information Technology, </w:t>
      </w:r>
      <w:r>
        <w:rPr>
          <w:bCs/>
          <w:i/>
        </w:rPr>
        <w:t xml:space="preserve">45 CFR Part 170; </w:t>
      </w:r>
      <w:r>
        <w:rPr>
          <w:i/>
        </w:rPr>
        <w:t>February 7, 2011</w:t>
      </w:r>
      <w:r>
        <w:t xml:space="preserve">.)  </w:t>
      </w:r>
    </w:p>
    <w:p w:rsidR="000E2C81" w:rsidRDefault="000E2C81" w:rsidP="000E2C81">
      <w:pPr>
        <w:spacing w:line="300" w:lineRule="atLeast"/>
      </w:pPr>
    </w:p>
    <w:p w:rsidR="000E2C81" w:rsidRDefault="000E2C81" w:rsidP="000E2C81">
      <w:pPr>
        <w:spacing w:line="300" w:lineRule="atLeast"/>
      </w:pPr>
      <w:r>
        <w:t xml:space="preserve">Questions or concerns regarding the ONC HIT Certification Program should be directed to ONC at </w:t>
      </w:r>
      <w:hyperlink r:id="rId8" w:history="1">
        <w:r>
          <w:rPr>
            <w:rStyle w:val="Hyperlink"/>
          </w:rPr>
          <w:t>ONC.Certification@hhs.gov</w:t>
        </w:r>
      </w:hyperlink>
      <w:r>
        <w:t xml:space="preserve">.  </w:t>
      </w:r>
    </w:p>
    <w:p w:rsidR="00BE1DAF" w:rsidRDefault="00BE1DAF" w:rsidP="000E2C81">
      <w:pPr>
        <w:spacing w:line="300" w:lineRule="atLeast"/>
      </w:pPr>
    </w:p>
    <w:p w:rsidR="00916626" w:rsidRDefault="00916626" w:rsidP="00AE52F0">
      <w:pPr>
        <w:spacing w:line="300" w:lineRule="atLeast"/>
      </w:pPr>
    </w:p>
    <w:p w:rsidR="003D7B79" w:rsidRDefault="004F16BD" w:rsidP="008B6FE7">
      <w:pPr>
        <w:pStyle w:val="Heading3"/>
        <w:numPr>
          <w:ilvl w:val="0"/>
          <w:numId w:val="0"/>
        </w:numPr>
        <w:spacing w:line="300" w:lineRule="atLeast"/>
      </w:pPr>
      <w:r w:rsidRPr="004F16BD">
        <w:t>Certification Criteria</w:t>
      </w:r>
    </w:p>
    <w:p w:rsidR="000E2C81" w:rsidRDefault="000E2C81" w:rsidP="000E2C81">
      <w:pPr>
        <w:spacing w:line="300" w:lineRule="atLeast"/>
        <w:rPr>
          <w:u w:val="single"/>
        </w:rPr>
      </w:pPr>
      <w:r>
        <w:rPr>
          <w:rFonts w:cs="Arial"/>
        </w:rPr>
        <w:t xml:space="preserve">This certification criterion is from the </w:t>
      </w:r>
      <w:r w:rsidRPr="00557247">
        <w:rPr>
          <w:rFonts w:eastAsia="Calibri" w:cs="Arial"/>
          <w:bCs/>
        </w:rPr>
        <w:t>Health Information Technology: Standards, Implementation Specifications, and Certification Criteria for Electronic Health Record Technology, 2014 Edition; Revisions to the Permanent Certification Program for Health Information Technology</w:t>
      </w:r>
      <w:r>
        <w:rPr>
          <w:rFonts w:eastAsia="Calibri" w:cs="Arial"/>
          <w:bCs/>
        </w:rPr>
        <w:t xml:space="preserve">, </w:t>
      </w:r>
      <w:r w:rsidRPr="00DA33B1">
        <w:t xml:space="preserve">Final </w:t>
      </w:r>
      <w:r w:rsidRPr="00DA33B1">
        <w:rPr>
          <w:rFonts w:cs="Arial"/>
        </w:rPr>
        <w:t>Rule</w:t>
      </w:r>
      <w:r w:rsidRPr="00557247">
        <w:rPr>
          <w:rFonts w:eastAsia="Calibri" w:cs="Arial"/>
          <w:bCs/>
        </w:rPr>
        <w:t xml:space="preserve"> </w:t>
      </w:r>
      <w:r>
        <w:rPr>
          <w:rFonts w:cs="Arial"/>
        </w:rPr>
        <w:t xml:space="preserve">issued by the Department of Health and Human Services (HHS) on </w:t>
      </w:r>
      <w:r w:rsidRPr="00634038">
        <w:rPr>
          <w:rFonts w:cs="Arial"/>
          <w:highlight w:val="yellow"/>
        </w:rPr>
        <w:t>September 7, 2012</w:t>
      </w:r>
      <w:r>
        <w:rPr>
          <w:rFonts w:cs="Arial"/>
        </w:rPr>
        <w:t xml:space="preserve">. </w:t>
      </w:r>
    </w:p>
    <w:p w:rsidR="00525528" w:rsidRPr="00B378D4" w:rsidRDefault="00525528" w:rsidP="00AE52F0">
      <w:pPr>
        <w:spacing w:line="300" w:lineRule="atLeast"/>
        <w:rPr>
          <w:color w:val="FF0000"/>
        </w:rPr>
      </w:pPr>
    </w:p>
    <w:p w:rsidR="00A5292F" w:rsidRPr="00307407" w:rsidRDefault="00EA1B10" w:rsidP="00A5292F">
      <w:pPr>
        <w:spacing w:line="300" w:lineRule="atLeast"/>
        <w:rPr>
          <w:rFonts w:cs="Arial"/>
          <w:u w:val="single"/>
        </w:rPr>
      </w:pPr>
      <w:r w:rsidRPr="00A5292F">
        <w:rPr>
          <w:rFonts w:cs="Arial"/>
        </w:rPr>
        <w:t>170.314(</w:t>
      </w:r>
      <w:r w:rsidR="00A5292F" w:rsidRPr="00A5292F">
        <w:rPr>
          <w:rFonts w:cs="Arial"/>
        </w:rPr>
        <w:t>f</w:t>
      </w:r>
      <w:proofErr w:type="gramStart"/>
      <w:r w:rsidRPr="00A5292F">
        <w:rPr>
          <w:rFonts w:cs="Arial"/>
        </w:rPr>
        <w:t>)</w:t>
      </w:r>
      <w:r w:rsidR="00A5292F" w:rsidRPr="00A5292F">
        <w:rPr>
          <w:rFonts w:cs="Arial"/>
        </w:rPr>
        <w:t>(</w:t>
      </w:r>
      <w:proofErr w:type="gramEnd"/>
      <w:r w:rsidR="00A5292F" w:rsidRPr="00A5292F">
        <w:rPr>
          <w:rFonts w:cs="Arial"/>
        </w:rPr>
        <w:t xml:space="preserve">2) </w:t>
      </w:r>
      <w:r w:rsidR="00A5292F" w:rsidRPr="00A5292F">
        <w:rPr>
          <w:rFonts w:cs="Arial"/>
          <w:u w:val="single"/>
        </w:rPr>
        <w:t>Transmission to immunization registries</w:t>
      </w:r>
      <w:r w:rsidR="00A5292F" w:rsidRPr="00A5292F">
        <w:rPr>
          <w:rFonts w:cs="Arial"/>
        </w:rPr>
        <w:t>. EHR technology must be able to</w:t>
      </w:r>
      <w:r w:rsidR="00A5292F" w:rsidRPr="00307407">
        <w:rPr>
          <w:rFonts w:cs="Arial"/>
        </w:rPr>
        <w:t xml:space="preserve"> electronically create immunization information for electronic transmission in accordance with:</w:t>
      </w:r>
    </w:p>
    <w:p w:rsidR="00A5292F" w:rsidRPr="00307407" w:rsidRDefault="00A5292F" w:rsidP="00A5292F">
      <w:pPr>
        <w:pStyle w:val="MediumGrid21"/>
        <w:spacing w:line="300" w:lineRule="atLeast"/>
        <w:ind w:left="360"/>
        <w:rPr>
          <w:rFonts w:ascii="Arial" w:hAnsi="Arial" w:cs="Arial"/>
          <w:sz w:val="20"/>
          <w:szCs w:val="20"/>
        </w:rPr>
      </w:pPr>
      <w:r w:rsidRPr="00307407">
        <w:rPr>
          <w:rFonts w:ascii="Arial" w:hAnsi="Arial" w:cs="Arial"/>
          <w:sz w:val="20"/>
          <w:szCs w:val="20"/>
        </w:rPr>
        <w:t>(</w:t>
      </w:r>
      <w:proofErr w:type="spellStart"/>
      <w:r w:rsidRPr="00307407">
        <w:rPr>
          <w:rFonts w:ascii="Arial" w:hAnsi="Arial" w:cs="Arial"/>
          <w:sz w:val="20"/>
          <w:szCs w:val="20"/>
        </w:rPr>
        <w:t>i</w:t>
      </w:r>
      <w:proofErr w:type="spellEnd"/>
      <w:r w:rsidRPr="00307407">
        <w:rPr>
          <w:rFonts w:ascii="Arial" w:hAnsi="Arial" w:cs="Arial"/>
          <w:sz w:val="20"/>
          <w:szCs w:val="20"/>
        </w:rPr>
        <w:t>) The standard and applicable implementation specifications specified in § 170.205(e</w:t>
      </w:r>
      <w:proofErr w:type="gramStart"/>
      <w:r w:rsidRPr="00307407">
        <w:rPr>
          <w:rFonts w:ascii="Arial" w:hAnsi="Arial" w:cs="Arial"/>
          <w:sz w:val="20"/>
          <w:szCs w:val="20"/>
        </w:rPr>
        <w:t>)(</w:t>
      </w:r>
      <w:proofErr w:type="gramEnd"/>
      <w:r w:rsidRPr="00307407">
        <w:rPr>
          <w:rFonts w:ascii="Arial" w:hAnsi="Arial" w:cs="Arial"/>
          <w:sz w:val="20"/>
          <w:szCs w:val="20"/>
        </w:rPr>
        <w:t>3); and</w:t>
      </w:r>
    </w:p>
    <w:p w:rsidR="00A5292F" w:rsidRPr="00307407" w:rsidRDefault="00A5292F" w:rsidP="00A5292F">
      <w:pPr>
        <w:pStyle w:val="MediumGrid21"/>
        <w:spacing w:line="300" w:lineRule="atLeast"/>
        <w:ind w:left="360"/>
        <w:rPr>
          <w:rFonts w:ascii="Arial" w:hAnsi="Arial" w:cs="Arial"/>
          <w:sz w:val="20"/>
          <w:szCs w:val="20"/>
        </w:rPr>
      </w:pPr>
      <w:r w:rsidRPr="00307407">
        <w:rPr>
          <w:rFonts w:ascii="Arial" w:hAnsi="Arial" w:cs="Arial"/>
          <w:sz w:val="20"/>
          <w:szCs w:val="20"/>
        </w:rPr>
        <w:t>(ii) At a minimum, the version of the standard specified in § 170.207</w:t>
      </w:r>
      <w:r w:rsidR="004A0B23" w:rsidRPr="00732321">
        <w:rPr>
          <w:rFonts w:ascii="Arial" w:hAnsi="Arial" w:cs="Arial"/>
          <w:color w:val="000000"/>
          <w:sz w:val="20"/>
          <w:szCs w:val="20"/>
        </w:rPr>
        <w:t>(e</w:t>
      </w:r>
      <w:proofErr w:type="gramStart"/>
      <w:r w:rsidR="004A0B23" w:rsidRPr="00732321">
        <w:rPr>
          <w:rFonts w:ascii="Arial" w:hAnsi="Arial" w:cs="Arial"/>
          <w:color w:val="000000"/>
          <w:sz w:val="20"/>
          <w:szCs w:val="20"/>
        </w:rPr>
        <w:t>)(</w:t>
      </w:r>
      <w:proofErr w:type="gramEnd"/>
      <w:r w:rsidR="004A0B23" w:rsidRPr="00732321">
        <w:rPr>
          <w:rFonts w:ascii="Arial" w:hAnsi="Arial" w:cs="Arial"/>
          <w:color w:val="000000"/>
          <w:sz w:val="20"/>
          <w:szCs w:val="20"/>
        </w:rPr>
        <w:t>2).</w:t>
      </w:r>
    </w:p>
    <w:p w:rsidR="00A1764A" w:rsidRDefault="00855495" w:rsidP="00453496">
      <w:pPr>
        <w:spacing w:line="300" w:lineRule="atLeast"/>
      </w:pPr>
      <w:r>
        <w:tab/>
      </w:r>
      <w:r>
        <w:tab/>
      </w:r>
    </w:p>
    <w:p w:rsidR="000E2C81" w:rsidRDefault="000E2C81" w:rsidP="000E2C81">
      <w:pPr>
        <w:spacing w:line="300" w:lineRule="atLeast"/>
        <w:rPr>
          <w:rFonts w:cs="Arial"/>
        </w:rPr>
      </w:pPr>
      <w:r w:rsidRPr="00E77FF4">
        <w:rPr>
          <w:rFonts w:cs="Arial"/>
          <w:iCs/>
        </w:rPr>
        <w:t xml:space="preserve">Per Section III.A of the preamble of the </w:t>
      </w:r>
      <w:r w:rsidRPr="00E77FF4">
        <w:rPr>
          <w:rFonts w:cs="Arial"/>
          <w:bCs/>
        </w:rPr>
        <w:t xml:space="preserve">Health Information Technology: Standards, Implementation Specifications, and Certification Criteria for Electronic Health Record Technology, 2014 Edition; Revisions to the Permanent Certification Program for Health Information Technology, </w:t>
      </w:r>
      <w:r w:rsidRPr="00E77FF4">
        <w:rPr>
          <w:rFonts w:cs="Arial"/>
        </w:rPr>
        <w:t>Final Rule</w:t>
      </w:r>
      <w:r w:rsidRPr="00E77FF4">
        <w:rPr>
          <w:rFonts w:cs="Arial"/>
          <w:iCs/>
        </w:rPr>
        <w:t xml:space="preserve"> the 2014 Edition of </w:t>
      </w:r>
      <w:r w:rsidRPr="00E77FF4">
        <w:rPr>
          <w:rFonts w:cs="Arial"/>
          <w:iCs/>
        </w:rPr>
        <w:lastRenderedPageBreak/>
        <w:t>this certification criterion is classified as revised from the 2011 Edition.  This certification criterion meets at least one of the three factors of revised certification criteria: (1) the certification criterion includes changes to capabilities that were specified in the previously adopted certification criterion, (2) the certification criterion has a new mandatory capability that was not included in the previously adopted certification criterion, or (3) the certification criterion was previously adopted as “optional” for a particular setting and is subsequently adopted as “mandatory” for that setting.</w:t>
      </w:r>
    </w:p>
    <w:p w:rsidR="000E2C81" w:rsidRDefault="000E2C81" w:rsidP="000E2C81">
      <w:pPr>
        <w:spacing w:line="300" w:lineRule="atLeast"/>
        <w:ind w:right="240"/>
        <w:rPr>
          <w:rFonts w:cs="Arial"/>
        </w:rPr>
      </w:pPr>
    </w:p>
    <w:p w:rsidR="000E2C81" w:rsidRDefault="000E2C81" w:rsidP="000E2C81">
      <w:pPr>
        <w:spacing w:line="300" w:lineRule="atLeast"/>
        <w:rPr>
          <w:rFonts w:cs="Arial"/>
        </w:rPr>
      </w:pPr>
      <w:r>
        <w:rPr>
          <w:rFonts w:cs="Arial"/>
          <w:iCs/>
        </w:rPr>
        <w:t xml:space="preserve">Per Section III.A of the preamble of the </w:t>
      </w:r>
      <w:r w:rsidRPr="00DA33B1">
        <w:rPr>
          <w:rFonts w:eastAsiaTheme="minorHAnsi" w:cs="Arial"/>
          <w:bCs/>
        </w:rPr>
        <w:t>Health Information Technology: Standards, Implementation Specifications, and Certification Criteria for Electronic Health Record Technology, 2014 Edition; Revisions to the Permanent Certification Program for Health Information Technology</w:t>
      </w:r>
      <w:r>
        <w:rPr>
          <w:rFonts w:eastAsiaTheme="minorHAnsi" w:cs="Arial"/>
          <w:bCs/>
        </w:rPr>
        <w:t xml:space="preserve">, </w:t>
      </w:r>
      <w:r w:rsidRPr="00DA33B1">
        <w:t xml:space="preserve">Final </w:t>
      </w:r>
      <w:r w:rsidRPr="00DA33B1">
        <w:rPr>
          <w:rFonts w:cs="Arial"/>
        </w:rPr>
        <w:t>Rule</w:t>
      </w:r>
      <w:r>
        <w:rPr>
          <w:rFonts w:cs="Arial"/>
        </w:rPr>
        <w:t xml:space="preserve"> where the </w:t>
      </w:r>
      <w:r w:rsidR="005C241C">
        <w:t>transmission to immunization registries</w:t>
      </w:r>
      <w:r>
        <w:rPr>
          <w:rFonts w:cs="Arial"/>
        </w:rPr>
        <w:t xml:space="preserve"> certification criterion is discussed:  </w:t>
      </w:r>
    </w:p>
    <w:p w:rsidR="005C241C" w:rsidRDefault="005C241C" w:rsidP="005C241C">
      <w:pPr>
        <w:pStyle w:val="ListParagraph"/>
        <w:numPr>
          <w:ilvl w:val="0"/>
          <w:numId w:val="25"/>
        </w:numPr>
        <w:spacing w:line="300" w:lineRule="atLeast"/>
        <w:rPr>
          <w:rFonts w:cs="Arial"/>
        </w:rPr>
      </w:pPr>
      <w:r>
        <w:rPr>
          <w:rFonts w:cs="Arial"/>
        </w:rPr>
        <w:t>“</w:t>
      </w:r>
      <w:r w:rsidRPr="005C241C">
        <w:rPr>
          <w:rFonts w:cs="Arial"/>
        </w:rPr>
        <w:t>We do not believe that permitting EHR technology to continue to be certified to HL7 2.3.1 as a means of meeting this certification criterion promotes improved exchanged and interoperability. Therefore, we are adopting only HL7 2.5.1 for the “transmission to immunization registries” certification criterion.</w:t>
      </w:r>
      <w:r>
        <w:rPr>
          <w:rFonts w:cs="Arial"/>
        </w:rPr>
        <w:t>”</w:t>
      </w:r>
    </w:p>
    <w:p w:rsidR="00C752F4" w:rsidRPr="00C752F4" w:rsidRDefault="00C752F4" w:rsidP="00C752F4">
      <w:pPr>
        <w:pStyle w:val="ListParagraph"/>
        <w:numPr>
          <w:ilvl w:val="0"/>
          <w:numId w:val="25"/>
        </w:numPr>
        <w:spacing w:line="300" w:lineRule="atLeast"/>
        <w:rPr>
          <w:rFonts w:cs="Arial"/>
        </w:rPr>
      </w:pPr>
      <w:r>
        <w:rPr>
          <w:rFonts w:cs="Arial"/>
        </w:rPr>
        <w:t>“</w:t>
      </w:r>
      <w:r w:rsidRPr="00C752F4">
        <w:rPr>
          <w:rFonts w:cs="Arial"/>
        </w:rPr>
        <w:t>The CDC has worked to clarify ambiguities in Release 1.3 of the implementation guide and has published a new version of the implementation guide, Release 1.4, which reflects these clarifications. In particular, Release 1.4 clarifies the separate usage responsibilities for senders and receivers, provides conformance statements identifying core data elements that must be supported based on the National Vaccine Advisory Committee (NVAC) core data elements, adds support for messaging Vaccine Information Statement (VIS) data based on a 3D barcode, and provides HL7 version 2.7.1 usage guidance that improves clarity for conformance criteria and the requirements for HL7 message elements. Overall, these revisions do not establish additional substantive requirements in comparison to Release 1.3. Rather, the revisions improve the ability to test and certify EHR technology to the implementation guide and make it easier for EHR technology developers to implement the guide’s requirements based on the corrections and clarifications.</w:t>
      </w:r>
      <w:r>
        <w:rPr>
          <w:rFonts w:cs="Arial"/>
        </w:rPr>
        <w:t>”</w:t>
      </w:r>
    </w:p>
    <w:p w:rsidR="00C752F4" w:rsidRPr="00C752F4" w:rsidRDefault="00C752F4" w:rsidP="00C752F4">
      <w:pPr>
        <w:pStyle w:val="ListParagraph"/>
        <w:numPr>
          <w:ilvl w:val="0"/>
          <w:numId w:val="25"/>
        </w:numPr>
        <w:spacing w:line="300" w:lineRule="atLeast"/>
        <w:rPr>
          <w:rFonts w:cs="Arial"/>
        </w:rPr>
      </w:pPr>
      <w:r>
        <w:rPr>
          <w:rFonts w:cs="Arial"/>
        </w:rPr>
        <w:t>“</w:t>
      </w:r>
      <w:r w:rsidRPr="00C752F4">
        <w:rPr>
          <w:rFonts w:cs="Arial"/>
        </w:rPr>
        <w:t>Accordingly, in lieu of adopting Release 1.3 of the implementation guide as we had proposed, we have adopted Release 1.4 for the “transmission to immunization registries” certification criterion. For the reasons stated above, we are not adopting HL7 2.3.1.</w:t>
      </w:r>
      <w:r>
        <w:rPr>
          <w:rFonts w:cs="Arial"/>
        </w:rPr>
        <w:t>”</w:t>
      </w:r>
    </w:p>
    <w:p w:rsidR="00C752F4" w:rsidRDefault="00C752F4" w:rsidP="00C752F4">
      <w:pPr>
        <w:pStyle w:val="ListParagraph"/>
        <w:numPr>
          <w:ilvl w:val="0"/>
          <w:numId w:val="25"/>
        </w:numPr>
        <w:spacing w:line="300" w:lineRule="atLeast"/>
        <w:rPr>
          <w:rFonts w:cs="Arial"/>
        </w:rPr>
      </w:pPr>
      <w:r>
        <w:rPr>
          <w:rFonts w:cs="Arial"/>
        </w:rPr>
        <w:t>“</w:t>
      </w:r>
      <w:r w:rsidRPr="00C752F4">
        <w:rPr>
          <w:rFonts w:cs="Arial"/>
        </w:rPr>
        <w:t>Release 1.4 of the implementation guide reduces variability and standardizes the required data elements across public health jurisdictions. Release 1.4 also notes a standard format for states to indicate any variability.</w:t>
      </w:r>
      <w:r>
        <w:rPr>
          <w:rFonts w:cs="Arial"/>
        </w:rPr>
        <w:t>”</w:t>
      </w:r>
      <w:r w:rsidRPr="00C752F4">
        <w:rPr>
          <w:rFonts w:cs="Arial"/>
        </w:rPr>
        <w:t xml:space="preserve"> </w:t>
      </w:r>
    </w:p>
    <w:p w:rsidR="00C752F4" w:rsidRPr="00C752F4" w:rsidRDefault="00C752F4" w:rsidP="00C752F4">
      <w:pPr>
        <w:pStyle w:val="ListParagraph"/>
        <w:numPr>
          <w:ilvl w:val="0"/>
          <w:numId w:val="25"/>
        </w:numPr>
        <w:spacing w:line="300" w:lineRule="atLeast"/>
        <w:rPr>
          <w:rFonts w:cs="Arial"/>
        </w:rPr>
      </w:pPr>
      <w:r>
        <w:rPr>
          <w:rFonts w:cs="Arial"/>
        </w:rPr>
        <w:t>“</w:t>
      </w:r>
      <w:r w:rsidRPr="00C752F4">
        <w:rPr>
          <w:rFonts w:cs="Arial"/>
        </w:rPr>
        <w:t>The certification criteria do not address transport standards, as this is left to the receiving public health authority. However, an expert panel convened by CDC and American Immunization Registry Association (AIRA) has recommended a SOAP-based standard for transport of immunization data.</w:t>
      </w:r>
      <w:r>
        <w:rPr>
          <w:rFonts w:cs="Arial"/>
        </w:rPr>
        <w:t>”</w:t>
      </w:r>
    </w:p>
    <w:p w:rsidR="005C241C" w:rsidRPr="00C752F4" w:rsidRDefault="00C752F4" w:rsidP="005C241C">
      <w:pPr>
        <w:pStyle w:val="ListParagraph"/>
        <w:numPr>
          <w:ilvl w:val="0"/>
          <w:numId w:val="25"/>
        </w:numPr>
        <w:spacing w:line="300" w:lineRule="atLeast"/>
        <w:rPr>
          <w:rFonts w:cs="Arial"/>
        </w:rPr>
      </w:pPr>
      <w:r>
        <w:rPr>
          <w:rFonts w:ascii="Arial" w:hAnsi="Arial" w:cs="Arial"/>
          <w:sz w:val="20"/>
          <w:szCs w:val="20"/>
        </w:rPr>
        <w:t>“…</w:t>
      </w:r>
      <w:r w:rsidRPr="00DB5DCC">
        <w:rPr>
          <w:rFonts w:ascii="Arial" w:hAnsi="Arial" w:cs="Arial"/>
          <w:sz w:val="20"/>
          <w:szCs w:val="20"/>
        </w:rPr>
        <w:t>we continue to believe that the adoption of CVX is appropriate and that</w:t>
      </w:r>
      <w:r>
        <w:rPr>
          <w:rFonts w:ascii="Arial" w:hAnsi="Arial" w:cs="Arial"/>
          <w:sz w:val="20"/>
          <w:szCs w:val="20"/>
        </w:rPr>
        <w:t xml:space="preserve"> </w:t>
      </w:r>
      <w:r w:rsidRPr="00DB5DCC">
        <w:rPr>
          <w:rFonts w:ascii="Arial" w:hAnsi="Arial" w:cs="Arial"/>
          <w:sz w:val="20"/>
          <w:szCs w:val="20"/>
        </w:rPr>
        <w:t xml:space="preserve">no other vocabulary </w:t>
      </w:r>
      <w:proofErr w:type="gramStart"/>
      <w:r w:rsidRPr="00DB5DCC">
        <w:rPr>
          <w:rFonts w:ascii="Arial" w:hAnsi="Arial" w:cs="Arial"/>
          <w:sz w:val="20"/>
          <w:szCs w:val="20"/>
        </w:rPr>
        <w:t>standard need</w:t>
      </w:r>
      <w:proofErr w:type="gramEnd"/>
      <w:r w:rsidRPr="00DB5DCC">
        <w:rPr>
          <w:rFonts w:ascii="Arial" w:hAnsi="Arial" w:cs="Arial"/>
          <w:sz w:val="20"/>
          <w:szCs w:val="20"/>
        </w:rPr>
        <w:t xml:space="preserve"> to be expressly adopted for the purposes of certification.</w:t>
      </w:r>
      <w:r>
        <w:rPr>
          <w:rFonts w:ascii="Arial" w:hAnsi="Arial" w:cs="Arial"/>
          <w:sz w:val="20"/>
          <w:szCs w:val="20"/>
        </w:rPr>
        <w:t>”</w:t>
      </w:r>
    </w:p>
    <w:p w:rsidR="00C752F4" w:rsidRPr="00C752F4" w:rsidRDefault="00C752F4" w:rsidP="00C752F4">
      <w:pPr>
        <w:pStyle w:val="ListParagraph"/>
        <w:numPr>
          <w:ilvl w:val="0"/>
          <w:numId w:val="25"/>
        </w:numPr>
        <w:spacing w:line="300" w:lineRule="atLeast"/>
        <w:rPr>
          <w:rFonts w:cs="Arial"/>
        </w:rPr>
      </w:pPr>
      <w:r>
        <w:rPr>
          <w:rFonts w:cs="Arial"/>
        </w:rPr>
        <w:t>“</w:t>
      </w:r>
      <w:r w:rsidRPr="00C752F4">
        <w:rPr>
          <w:rFonts w:cs="Arial"/>
        </w:rPr>
        <w:t xml:space="preserve">We have established a process for adopting certain vocabulary standards, including CVX, which permits the use of newer versions of those standards than the one adopted in regulation. We refer readers to section IV.B for a discussion of “minimum standards” code sets and our new more flexible approach for their use in certification and upgrading certified Complete EHRs and </w:t>
      </w:r>
      <w:r w:rsidRPr="00C752F4">
        <w:rPr>
          <w:rFonts w:cs="Arial"/>
        </w:rPr>
        <w:lastRenderedPageBreak/>
        <w:t>certified EHR Modules. Readers should also review § 170.555, which specifies the certification processes for “minimum standards”</w:t>
      </w:r>
      <w:r>
        <w:rPr>
          <w:rFonts w:cs="Arial"/>
        </w:rPr>
        <w:t xml:space="preserve"> code sets</w:t>
      </w:r>
      <w:proofErr w:type="gramStart"/>
      <w:r>
        <w:rPr>
          <w:rFonts w:cs="Arial"/>
        </w:rPr>
        <w:t>.“</w:t>
      </w:r>
      <w:proofErr w:type="gramEnd"/>
    </w:p>
    <w:p w:rsidR="00C752F4" w:rsidRPr="00C752F4" w:rsidRDefault="00C752F4" w:rsidP="00C752F4">
      <w:pPr>
        <w:pStyle w:val="ListParagraph"/>
        <w:numPr>
          <w:ilvl w:val="0"/>
          <w:numId w:val="25"/>
        </w:numPr>
        <w:spacing w:line="300" w:lineRule="atLeast"/>
        <w:rPr>
          <w:rFonts w:cs="Arial"/>
        </w:rPr>
      </w:pPr>
      <w:r>
        <w:rPr>
          <w:rFonts w:cs="Arial"/>
        </w:rPr>
        <w:t>“</w:t>
      </w:r>
      <w:r w:rsidRPr="00C752F4">
        <w:rPr>
          <w:rFonts w:cs="Arial"/>
        </w:rPr>
        <w:t>The triggering event for reporting of an immunization is not part of the certification criteria. Certification focuses on the ability of EHR technology to properly create immunization information for electronic transmission according to the adopted standard and implementation specification.</w:t>
      </w:r>
      <w:r>
        <w:rPr>
          <w:rFonts w:cs="Arial"/>
        </w:rPr>
        <w:t>”</w:t>
      </w:r>
    </w:p>
    <w:p w:rsidR="00C752F4" w:rsidRDefault="00C752F4" w:rsidP="00C752F4">
      <w:pPr>
        <w:pStyle w:val="ListParagraph"/>
        <w:numPr>
          <w:ilvl w:val="0"/>
          <w:numId w:val="25"/>
        </w:numPr>
        <w:spacing w:line="300" w:lineRule="atLeast"/>
        <w:rPr>
          <w:rFonts w:ascii="Arial" w:hAnsi="Arial" w:cs="Arial"/>
          <w:sz w:val="20"/>
          <w:szCs w:val="20"/>
        </w:rPr>
      </w:pPr>
      <w:r w:rsidRPr="00C752F4">
        <w:rPr>
          <w:rFonts w:cs="Arial"/>
        </w:rPr>
        <w:t>“</w:t>
      </w:r>
      <w:r w:rsidRPr="00C752F4">
        <w:rPr>
          <w:rFonts w:ascii="Arial" w:hAnsi="Arial" w:cs="Arial"/>
          <w:sz w:val="20"/>
          <w:szCs w:val="20"/>
        </w:rPr>
        <w:t>The purpose of this certification criterion is to support interoperability between EHR technology and public health. Thus, any EHR technology that meets the certification</w:t>
      </w:r>
      <w:r w:rsidR="00BC2F18">
        <w:rPr>
          <w:rFonts w:ascii="Arial" w:hAnsi="Arial" w:cs="Arial"/>
          <w:sz w:val="20"/>
          <w:szCs w:val="20"/>
        </w:rPr>
        <w:t xml:space="preserve"> requirements can be utilized to submit data to an Immunization Registry.”</w:t>
      </w:r>
    </w:p>
    <w:p w:rsidR="00C752F4" w:rsidRPr="00C752F4" w:rsidRDefault="00C752F4" w:rsidP="00C752F4">
      <w:pPr>
        <w:pStyle w:val="ListParagraph"/>
        <w:numPr>
          <w:ilvl w:val="0"/>
          <w:numId w:val="25"/>
        </w:numPr>
        <w:spacing w:line="300" w:lineRule="atLeast"/>
        <w:rPr>
          <w:rFonts w:ascii="Arial" w:hAnsi="Arial" w:cs="Arial"/>
          <w:sz w:val="20"/>
          <w:szCs w:val="20"/>
        </w:rPr>
      </w:pPr>
      <w:r w:rsidRPr="00C752F4">
        <w:rPr>
          <w:rFonts w:cs="Arial"/>
        </w:rPr>
        <w:t>“…</w:t>
      </w:r>
      <w:r w:rsidRPr="00C752F4">
        <w:rPr>
          <w:rFonts w:ascii="Arial" w:hAnsi="Arial" w:cs="Arial"/>
          <w:sz w:val="20"/>
          <w:szCs w:val="20"/>
        </w:rPr>
        <w:t>we do not require EHR technology to be certified to any transport standard, including Direct, to meet this certification criterion. There is no</w:t>
      </w:r>
      <w:r w:rsidR="00BC2F18">
        <w:rPr>
          <w:rFonts w:ascii="Arial" w:hAnsi="Arial" w:cs="Arial"/>
          <w:sz w:val="20"/>
          <w:szCs w:val="20"/>
        </w:rPr>
        <w:t xml:space="preserve"> consensus transport standard that states and public health agencies use for the reporting of immunization information. Therefore, we believe that it is appropriate for EHR technology developers to have the flexibility to include in their EHR technology and implement the transport standards that permit EPs, EHs, and CAHs to report in their states and to local public health agencies.</w:t>
      </w:r>
      <w:r>
        <w:rPr>
          <w:rFonts w:ascii="Arial" w:hAnsi="Arial" w:cs="Arial"/>
          <w:sz w:val="20"/>
          <w:szCs w:val="20"/>
        </w:rPr>
        <w:t>”</w:t>
      </w:r>
    </w:p>
    <w:p w:rsidR="006625B7" w:rsidRDefault="006625B7" w:rsidP="00916626"/>
    <w:p w:rsidR="006625B7" w:rsidRDefault="006625B7" w:rsidP="006625B7">
      <w:pPr>
        <w:spacing w:line="300" w:lineRule="atLeast"/>
        <w:rPr>
          <w:rFonts w:cs="Arial"/>
          <w:bCs/>
        </w:rPr>
      </w:pPr>
      <w:r w:rsidRPr="00712F7F">
        <w:rPr>
          <w:rFonts w:cs="Arial"/>
          <w:iCs/>
        </w:rPr>
        <w:t xml:space="preserve">Per Section III.D of the preamble of 45 CFR Part 170: </w:t>
      </w:r>
      <w:r w:rsidRPr="00712F7F">
        <w:rPr>
          <w:rFonts w:cs="Arial"/>
          <w:i/>
          <w:iCs/>
        </w:rPr>
        <w:t xml:space="preserve">Health Information Technology: Initial Set of Standards, Implementation Specifications, and Certification Criteria for Electronic Health Record Technology, Final Rule </w:t>
      </w:r>
      <w:r w:rsidRPr="00712F7F">
        <w:rPr>
          <w:rFonts w:cs="Arial"/>
        </w:rPr>
        <w:t>where the</w:t>
      </w:r>
      <w:r w:rsidR="005C241C">
        <w:rPr>
          <w:rFonts w:cs="Arial"/>
        </w:rPr>
        <w:t xml:space="preserve"> </w:t>
      </w:r>
      <w:r w:rsidR="005C241C">
        <w:t>submission to immunization registries</w:t>
      </w:r>
      <w:r w:rsidRPr="00712F7F">
        <w:rPr>
          <w:rFonts w:cs="Arial"/>
        </w:rPr>
        <w:t xml:space="preserve"> certification criterion is discussed:</w:t>
      </w:r>
      <w:r w:rsidRPr="00712F7F">
        <w:rPr>
          <w:rFonts w:cs="Arial"/>
          <w:bCs/>
        </w:rPr>
        <w:t xml:space="preserve"> </w:t>
      </w:r>
    </w:p>
    <w:p w:rsidR="005C241C" w:rsidRPr="003C5516" w:rsidRDefault="005C241C" w:rsidP="005C241C">
      <w:pPr>
        <w:numPr>
          <w:ilvl w:val="0"/>
          <w:numId w:val="24"/>
        </w:numPr>
        <w:spacing w:line="300" w:lineRule="atLeast"/>
        <w:rPr>
          <w:rFonts w:cs="Arial"/>
        </w:rPr>
      </w:pPr>
      <w:r>
        <w:rPr>
          <w:rFonts w:cs="Arial"/>
        </w:rPr>
        <w:t>“</w:t>
      </w:r>
      <w:r w:rsidRPr="003C5516">
        <w:rPr>
          <w:rFonts w:cs="Arial"/>
        </w:rPr>
        <w:t>We are primarily concerned with Certified EHR Technology’s ability to transmit the immunization information in a standardized format, and do not believe that it is necessary to specify a particular recipient in the certification criterion</w:t>
      </w:r>
      <w:r>
        <w:rPr>
          <w:rFonts w:cs="Arial"/>
        </w:rPr>
        <w:t>.”</w:t>
      </w:r>
    </w:p>
    <w:p w:rsidR="005C241C" w:rsidRPr="00533595" w:rsidRDefault="005C241C" w:rsidP="005C241C">
      <w:pPr>
        <w:numPr>
          <w:ilvl w:val="0"/>
          <w:numId w:val="24"/>
        </w:numPr>
        <w:spacing w:line="300" w:lineRule="atLeast"/>
        <w:rPr>
          <w:rFonts w:cs="Arial"/>
          <w:u w:val="single"/>
        </w:rPr>
      </w:pPr>
      <w:r>
        <w:rPr>
          <w:rFonts w:cs="Arial"/>
        </w:rPr>
        <w:t>“</w:t>
      </w:r>
      <w:r w:rsidRPr="00533595">
        <w:rPr>
          <w:rFonts w:cs="Arial"/>
        </w:rPr>
        <w:t>The CDC maintains an openly available list of updated CVX codes as well as a mapping of CVX codes to CPT codes on their website.</w:t>
      </w:r>
      <w:r>
        <w:rPr>
          <w:rFonts w:cs="Arial"/>
        </w:rPr>
        <w:t>”</w:t>
      </w:r>
      <w:r>
        <w:rPr>
          <w:rFonts w:cs="Arial"/>
          <w:lang w:val="fr-FR"/>
        </w:rPr>
        <w:t xml:space="preserve">  </w:t>
      </w:r>
      <w:r>
        <w:rPr>
          <w:rFonts w:cs="Arial"/>
        </w:rPr>
        <w:t>”N</w:t>
      </w:r>
      <w:r w:rsidRPr="00533595">
        <w:rPr>
          <w:rFonts w:cs="Arial"/>
        </w:rPr>
        <w:t>DC codes were not adopted as a standard to represent immunizations and we do not believe that requiring their use for the purposes of demonstrating compliance with this certification criterion would be appropriate.</w:t>
      </w:r>
      <w:r>
        <w:rPr>
          <w:rFonts w:cs="Arial"/>
        </w:rPr>
        <w:t>”</w:t>
      </w:r>
    </w:p>
    <w:p w:rsidR="005C241C" w:rsidRPr="00533595" w:rsidRDefault="005C241C" w:rsidP="005C241C">
      <w:pPr>
        <w:numPr>
          <w:ilvl w:val="0"/>
          <w:numId w:val="24"/>
        </w:numPr>
        <w:spacing w:line="300" w:lineRule="atLeast"/>
        <w:rPr>
          <w:rFonts w:cs="Arial"/>
        </w:rPr>
      </w:pPr>
      <w:r>
        <w:rPr>
          <w:rFonts w:cs="Arial"/>
        </w:rPr>
        <w:t>“…</w:t>
      </w:r>
      <w:r w:rsidRPr="00533595">
        <w:rPr>
          <w:rFonts w:cs="Arial"/>
        </w:rPr>
        <w:t>we have revised the certification criterion to replace the word “transmit” with “submit” to better align this certification criterion with the meaningful use objective and measure</w:t>
      </w:r>
      <w:r>
        <w:rPr>
          <w:rFonts w:cs="Arial"/>
        </w:rPr>
        <w:t xml:space="preserve">.” </w:t>
      </w:r>
    </w:p>
    <w:p w:rsidR="006625B7" w:rsidRDefault="006625B7" w:rsidP="00916626"/>
    <w:p w:rsidR="00C752F4" w:rsidRDefault="00C752F4" w:rsidP="00C752F4">
      <w:pPr>
        <w:pStyle w:val="Heading3"/>
        <w:numPr>
          <w:ilvl w:val="0"/>
          <w:numId w:val="0"/>
        </w:numPr>
        <w:tabs>
          <w:tab w:val="left" w:pos="720"/>
        </w:tabs>
        <w:ind w:right="240"/>
      </w:pPr>
      <w:r>
        <w:t>Changes from 2011 to 2014 Edition</w:t>
      </w:r>
    </w:p>
    <w:p w:rsidR="00152178" w:rsidRDefault="00C752F4" w:rsidP="00C752F4">
      <w:pPr>
        <w:spacing w:line="300" w:lineRule="atLeast"/>
        <w:rPr>
          <w:rFonts w:cs="Arial"/>
        </w:rPr>
      </w:pPr>
      <w:r>
        <w:rPr>
          <w:rFonts w:cs="Arial"/>
          <w:iCs/>
        </w:rPr>
        <w:t xml:space="preserve">Per Section III.A of the preamble of the </w:t>
      </w:r>
      <w:r w:rsidRPr="00DA33B1">
        <w:rPr>
          <w:rFonts w:eastAsiaTheme="minorHAnsi" w:cs="Arial"/>
          <w:bCs/>
        </w:rPr>
        <w:t>Health Information Technology: Standards, Implementation Specifications, and Certification Criteria for Electronic Health Record Technology, 2014 Edition; Revisions to the Permanent Certification Program for Health Information Technology</w:t>
      </w:r>
      <w:r>
        <w:rPr>
          <w:rFonts w:eastAsiaTheme="minorHAnsi" w:cs="Arial"/>
          <w:bCs/>
        </w:rPr>
        <w:t xml:space="preserve">, </w:t>
      </w:r>
      <w:r w:rsidRPr="00DA33B1">
        <w:t xml:space="preserve">Final </w:t>
      </w:r>
      <w:r w:rsidRPr="00DA33B1">
        <w:rPr>
          <w:rFonts w:cs="Arial"/>
        </w:rPr>
        <w:t>Rule</w:t>
      </w:r>
      <w:r>
        <w:rPr>
          <w:rFonts w:cs="Arial"/>
        </w:rPr>
        <w:t xml:space="preserve"> where the </w:t>
      </w:r>
      <w:r w:rsidR="00152178">
        <w:t>transmission to immunization registries</w:t>
      </w:r>
      <w:r>
        <w:rPr>
          <w:rFonts w:cs="Arial"/>
        </w:rPr>
        <w:t xml:space="preserve"> certification criterion is discussed:  </w:t>
      </w:r>
    </w:p>
    <w:p w:rsidR="00C752F4" w:rsidRPr="00152178" w:rsidRDefault="00C752F4" w:rsidP="00152178">
      <w:pPr>
        <w:spacing w:line="300" w:lineRule="atLeast"/>
        <w:ind w:left="720"/>
        <w:rPr>
          <w:rFonts w:cs="Arial"/>
          <w:b/>
        </w:rPr>
      </w:pPr>
      <w:r w:rsidRPr="00152178">
        <w:rPr>
          <w:rFonts w:cs="Arial"/>
          <w:b/>
        </w:rPr>
        <w:t>[</w:t>
      </w:r>
      <w:proofErr w:type="gramStart"/>
      <w:r w:rsidRPr="00152178">
        <w:rPr>
          <w:rFonts w:cs="Arial"/>
          <w:b/>
          <w:color w:val="FF0000"/>
        </w:rPr>
        <w:t>preamble</w:t>
      </w:r>
      <w:proofErr w:type="gramEnd"/>
      <w:r w:rsidRPr="00152178">
        <w:rPr>
          <w:rFonts w:cs="Arial"/>
          <w:b/>
          <w:color w:val="FF0000"/>
        </w:rPr>
        <w:t xml:space="preserve"> quotes describing the difference between stage 1 and stage 2 </w:t>
      </w:r>
      <w:r w:rsidR="00152178" w:rsidRPr="00152178">
        <w:rPr>
          <w:rFonts w:cs="Arial"/>
          <w:b/>
          <w:color w:val="FF0000"/>
        </w:rPr>
        <w:t xml:space="preserve">will be inserted </w:t>
      </w:r>
      <w:r w:rsidRPr="00152178">
        <w:rPr>
          <w:rFonts w:cs="Arial"/>
          <w:b/>
          <w:color w:val="FF0000"/>
        </w:rPr>
        <w:t>here</w:t>
      </w:r>
      <w:r w:rsidRPr="00152178">
        <w:rPr>
          <w:rFonts w:cs="Arial"/>
          <w:b/>
        </w:rPr>
        <w:t>]</w:t>
      </w:r>
    </w:p>
    <w:p w:rsidR="005F5EF9" w:rsidRDefault="005F5EF9" w:rsidP="00916626"/>
    <w:p w:rsidR="00BB1A7E" w:rsidRPr="00916626" w:rsidRDefault="00BB1A7E" w:rsidP="00916626"/>
    <w:p w:rsidR="00152178" w:rsidRDefault="00152178">
      <w:pPr>
        <w:rPr>
          <w:rFonts w:ascii="Arial Narrow Bold" w:hAnsi="Arial Narrow Bold" w:cs="Arial"/>
          <w:b/>
          <w:bCs/>
          <w:smallCaps/>
          <w:sz w:val="28"/>
          <w:szCs w:val="26"/>
        </w:rPr>
      </w:pPr>
      <w:r>
        <w:br w:type="page"/>
      </w:r>
    </w:p>
    <w:p w:rsidR="005D4E15" w:rsidRPr="004F16BD" w:rsidRDefault="00F14470" w:rsidP="0029602B">
      <w:pPr>
        <w:pStyle w:val="Heading3"/>
        <w:numPr>
          <w:ilvl w:val="0"/>
          <w:numId w:val="0"/>
        </w:numPr>
      </w:pPr>
      <w:r>
        <w:lastRenderedPageBreak/>
        <w:t xml:space="preserve">Informative </w:t>
      </w:r>
      <w:r w:rsidR="005D4E15" w:rsidRPr="004F16BD">
        <w:t>Test Description</w:t>
      </w:r>
    </w:p>
    <w:p w:rsidR="00F96769" w:rsidRPr="000C4139" w:rsidRDefault="00F96769" w:rsidP="000C4139">
      <w:pPr>
        <w:spacing w:line="300" w:lineRule="atLeast"/>
      </w:pPr>
      <w:r w:rsidRPr="000C4139">
        <w:t xml:space="preserve">This section provides an informative description of how the test procedure is organized and conducted.  It is not intended to provide normative statements of the certification requirements.  </w:t>
      </w:r>
    </w:p>
    <w:p w:rsidR="00F96769" w:rsidRPr="000C4139" w:rsidRDefault="00F96769" w:rsidP="000C4139">
      <w:pPr>
        <w:spacing w:line="300" w:lineRule="atLeast"/>
      </w:pPr>
    </w:p>
    <w:p w:rsidR="00C33DF2" w:rsidRDefault="00755BCC" w:rsidP="00480F2C">
      <w:pPr>
        <w:spacing w:line="300" w:lineRule="atLeast"/>
      </w:pPr>
      <w:r w:rsidRPr="000C4139">
        <w:t xml:space="preserve">This test evaluates the </w:t>
      </w:r>
      <w:r w:rsidRPr="00BF6C1F">
        <w:t>capability for a Complete EHR or EHR Module to</w:t>
      </w:r>
      <w:r w:rsidR="00991704" w:rsidRPr="00BF6C1F">
        <w:t xml:space="preserve"> </w:t>
      </w:r>
      <w:r w:rsidR="00BA1875" w:rsidRPr="00BF6C1F">
        <w:t xml:space="preserve">electronically </w:t>
      </w:r>
      <w:r w:rsidR="006274F0" w:rsidRPr="000C4139">
        <w:t xml:space="preserve">generate </w:t>
      </w:r>
      <w:r w:rsidR="00A5292F" w:rsidRPr="000C4139">
        <w:t>immunization information</w:t>
      </w:r>
      <w:r w:rsidR="006274F0" w:rsidRPr="000C4139">
        <w:t xml:space="preserve"> </w:t>
      </w:r>
      <w:r w:rsidR="00BA1875">
        <w:t>for</w:t>
      </w:r>
      <w:r w:rsidR="009F49D2">
        <w:t xml:space="preserve"> electronic </w:t>
      </w:r>
      <w:r w:rsidR="00BA1875">
        <w:t xml:space="preserve">transmission </w:t>
      </w:r>
      <w:r w:rsidR="006274F0" w:rsidRPr="000C4139">
        <w:rPr>
          <w:rFonts w:cs="Arial"/>
        </w:rPr>
        <w:t>using</w:t>
      </w:r>
      <w:r w:rsidR="00A112E0" w:rsidRPr="000C4139">
        <w:rPr>
          <w:rFonts w:cs="Arial"/>
        </w:rPr>
        <w:t xml:space="preserve"> </w:t>
      </w:r>
      <w:r w:rsidR="00480F2C">
        <w:rPr>
          <w:rFonts w:cs="Arial"/>
          <w:color w:val="000000"/>
        </w:rPr>
        <w:t xml:space="preserve">the </w:t>
      </w:r>
      <w:r w:rsidR="00480F2C" w:rsidRPr="00732321">
        <w:rPr>
          <w:rFonts w:cs="Arial"/>
          <w:color w:val="000000"/>
        </w:rPr>
        <w:t>HL7 2.5.1 Implementation Guide for Immuni</w:t>
      </w:r>
      <w:r w:rsidR="00480F2C">
        <w:rPr>
          <w:rFonts w:cs="Arial"/>
          <w:color w:val="000000"/>
        </w:rPr>
        <w:t>zation Messaging, Release 1.4</w:t>
      </w:r>
      <w:r w:rsidR="006274F0" w:rsidRPr="000C4139">
        <w:t xml:space="preserve">; and using the </w:t>
      </w:r>
      <w:r w:rsidR="00480F2C" w:rsidRPr="00732321">
        <w:rPr>
          <w:rFonts w:cs="Arial"/>
          <w:color w:val="000000"/>
        </w:rPr>
        <w:t>HL7 Standard Code Set CVX -- Vaccines Administered</w:t>
      </w:r>
      <w:r w:rsidR="00480F2C">
        <w:rPr>
          <w:rFonts w:cs="Arial"/>
          <w:color w:val="000000"/>
        </w:rPr>
        <w:t xml:space="preserve"> </w:t>
      </w:r>
      <w:r w:rsidR="006274F0" w:rsidRPr="000C4139">
        <w:t>vocabulary standard.</w:t>
      </w:r>
      <w:r w:rsidR="00A5292F" w:rsidRPr="000C4139">
        <w:t xml:space="preserve"> </w:t>
      </w:r>
    </w:p>
    <w:p w:rsidR="00480F2C" w:rsidRDefault="00480F2C" w:rsidP="00480F2C">
      <w:pPr>
        <w:autoSpaceDE w:val="0"/>
        <w:autoSpaceDN w:val="0"/>
        <w:adjustRightInd w:val="0"/>
        <w:spacing w:line="300" w:lineRule="atLeast"/>
        <w:rPr>
          <w:rFonts w:cs="Arial"/>
          <w:color w:val="000000"/>
        </w:rPr>
      </w:pPr>
    </w:p>
    <w:p w:rsidR="008D5393" w:rsidRDefault="008D5393" w:rsidP="00B51009">
      <w:pPr>
        <w:spacing w:line="300" w:lineRule="atLeast"/>
      </w:pPr>
      <w:r>
        <w:t>Test data, verified by the CDC, are provided for this test procedure</w:t>
      </w:r>
      <w:r w:rsidR="00B85E6B">
        <w:t>.</w:t>
      </w:r>
    </w:p>
    <w:p w:rsidR="008D5393" w:rsidRPr="00464024" w:rsidRDefault="008D5393" w:rsidP="00B51009">
      <w:pPr>
        <w:spacing w:line="300" w:lineRule="atLeast"/>
      </w:pPr>
    </w:p>
    <w:p w:rsidR="001F25E0" w:rsidRPr="00B85E6B" w:rsidRDefault="003E44E2" w:rsidP="00464024">
      <w:pPr>
        <w:spacing w:line="300" w:lineRule="atLeast"/>
        <w:rPr>
          <w:rFonts w:cs="Arial"/>
          <w:color w:val="FF0000"/>
        </w:rPr>
      </w:pPr>
      <w:r w:rsidRPr="00B85E6B">
        <w:rPr>
          <w:rFonts w:cs="Arial"/>
        </w:rPr>
        <w:t>The test procedure i</w:t>
      </w:r>
      <w:r w:rsidR="00F96769" w:rsidRPr="00B85E6B">
        <w:rPr>
          <w:rFonts w:cs="Arial"/>
        </w:rPr>
        <w:t>s organized into</w:t>
      </w:r>
      <w:r w:rsidR="00F96769" w:rsidRPr="00B85E6B">
        <w:rPr>
          <w:rFonts w:cs="Arial"/>
          <w:color w:val="FF0000"/>
        </w:rPr>
        <w:t xml:space="preserve"> </w:t>
      </w:r>
      <w:r w:rsidR="00B8253E" w:rsidRPr="00B85E6B">
        <w:rPr>
          <w:rFonts w:cs="Arial"/>
        </w:rPr>
        <w:t>one</w:t>
      </w:r>
      <w:r w:rsidR="00B8253E" w:rsidRPr="00B85E6B">
        <w:rPr>
          <w:rFonts w:cs="Arial"/>
          <w:color w:val="FF0000"/>
        </w:rPr>
        <w:t xml:space="preserve"> </w:t>
      </w:r>
      <w:r w:rsidR="00F96769" w:rsidRPr="00B85E6B">
        <w:rPr>
          <w:rFonts w:cs="Arial"/>
        </w:rPr>
        <w:t>section:</w:t>
      </w:r>
    </w:p>
    <w:p w:rsidR="00755BCC" w:rsidRPr="00B85E6B" w:rsidRDefault="00755BCC" w:rsidP="00464024">
      <w:pPr>
        <w:spacing w:line="300" w:lineRule="atLeast"/>
        <w:rPr>
          <w:rFonts w:cs="Arial"/>
        </w:rPr>
      </w:pPr>
    </w:p>
    <w:p w:rsidR="0049462B" w:rsidRPr="006625B7" w:rsidRDefault="0049462B" w:rsidP="00464024">
      <w:pPr>
        <w:numPr>
          <w:ilvl w:val="0"/>
          <w:numId w:val="10"/>
        </w:numPr>
        <w:spacing w:line="300" w:lineRule="atLeast"/>
        <w:ind w:left="360"/>
        <w:rPr>
          <w:rFonts w:cs="Arial"/>
        </w:rPr>
      </w:pPr>
      <w:r w:rsidRPr="006625B7">
        <w:rPr>
          <w:rFonts w:cs="Arial"/>
          <w:u w:val="single"/>
        </w:rPr>
        <w:t>Create</w:t>
      </w:r>
      <w:r w:rsidRPr="006625B7">
        <w:rPr>
          <w:rFonts w:cs="Arial"/>
        </w:rPr>
        <w:t xml:space="preserve"> – evaluates the capability of the EHR technology to electronically </w:t>
      </w:r>
      <w:r w:rsidR="00B8253E" w:rsidRPr="006625B7">
        <w:rPr>
          <w:rFonts w:cs="Arial"/>
        </w:rPr>
        <w:t xml:space="preserve">generate </w:t>
      </w:r>
      <w:r w:rsidRPr="006625B7">
        <w:rPr>
          <w:rFonts w:cs="Arial"/>
        </w:rPr>
        <w:t xml:space="preserve">conformant HL7 messages for </w:t>
      </w:r>
      <w:r w:rsidR="00372124" w:rsidRPr="006625B7">
        <w:rPr>
          <w:rFonts w:cs="Arial"/>
        </w:rPr>
        <w:t>immunization information</w:t>
      </w:r>
      <w:r w:rsidRPr="006625B7">
        <w:rPr>
          <w:rFonts w:cs="Arial"/>
        </w:rPr>
        <w:t xml:space="preserve"> </w:t>
      </w:r>
    </w:p>
    <w:p w:rsidR="0049462B" w:rsidRPr="006625B7" w:rsidRDefault="0049462B" w:rsidP="00464024">
      <w:pPr>
        <w:pStyle w:val="ListParagraph"/>
        <w:numPr>
          <w:ilvl w:val="1"/>
          <w:numId w:val="11"/>
        </w:numPr>
        <w:autoSpaceDE/>
        <w:autoSpaceDN/>
        <w:adjustRightInd/>
        <w:spacing w:line="300" w:lineRule="atLeast"/>
        <w:ind w:left="720"/>
        <w:jc w:val="both"/>
        <w:rPr>
          <w:rFonts w:ascii="Arial" w:hAnsi="Arial" w:cs="Arial"/>
          <w:sz w:val="20"/>
          <w:szCs w:val="20"/>
        </w:rPr>
      </w:pPr>
      <w:r w:rsidRPr="006625B7">
        <w:rPr>
          <w:rFonts w:ascii="Arial" w:hAnsi="Arial" w:cs="Arial"/>
          <w:sz w:val="20"/>
          <w:szCs w:val="20"/>
        </w:rPr>
        <w:t>Using the Vendor-identified EHR function(s), the Tester inputs the</w:t>
      </w:r>
      <w:r w:rsidR="00B85E6B" w:rsidRPr="006625B7">
        <w:rPr>
          <w:rFonts w:ascii="Arial" w:hAnsi="Arial" w:cs="Arial"/>
          <w:sz w:val="20"/>
          <w:szCs w:val="20"/>
        </w:rPr>
        <w:t xml:space="preserve"> </w:t>
      </w:r>
      <w:r w:rsidR="00BA6EC3" w:rsidRPr="006625B7">
        <w:rPr>
          <w:rFonts w:ascii="Arial" w:hAnsi="Arial" w:cs="Arial"/>
          <w:sz w:val="20"/>
          <w:szCs w:val="20"/>
        </w:rPr>
        <w:t>provided</w:t>
      </w:r>
      <w:r w:rsidRPr="006625B7">
        <w:rPr>
          <w:rFonts w:ascii="Arial" w:hAnsi="Arial" w:cs="Arial"/>
          <w:sz w:val="20"/>
          <w:szCs w:val="20"/>
        </w:rPr>
        <w:t xml:space="preserve"> </w:t>
      </w:r>
      <w:r w:rsidR="00372124" w:rsidRPr="006625B7">
        <w:rPr>
          <w:rFonts w:ascii="Arial" w:hAnsi="Arial" w:cs="Arial"/>
          <w:sz w:val="20"/>
          <w:szCs w:val="20"/>
        </w:rPr>
        <w:t>immunization information</w:t>
      </w:r>
      <w:r w:rsidRPr="006625B7">
        <w:rPr>
          <w:rFonts w:ascii="Arial" w:hAnsi="Arial" w:cs="Arial"/>
          <w:sz w:val="20"/>
          <w:szCs w:val="20"/>
        </w:rPr>
        <w:t xml:space="preserve"> </w:t>
      </w:r>
      <w:r w:rsidR="00BA6EC3" w:rsidRPr="006625B7">
        <w:rPr>
          <w:rFonts w:ascii="Arial" w:hAnsi="Arial" w:cs="Arial"/>
          <w:sz w:val="20"/>
          <w:szCs w:val="20"/>
        </w:rPr>
        <w:t>t</w:t>
      </w:r>
      <w:r w:rsidRPr="006625B7">
        <w:rPr>
          <w:rFonts w:ascii="Arial" w:hAnsi="Arial" w:cs="Arial"/>
          <w:sz w:val="20"/>
          <w:szCs w:val="20"/>
        </w:rPr>
        <w:t xml:space="preserve">est </w:t>
      </w:r>
      <w:r w:rsidR="00BA6EC3" w:rsidRPr="006625B7">
        <w:rPr>
          <w:rFonts w:ascii="Arial" w:hAnsi="Arial" w:cs="Arial"/>
          <w:sz w:val="20"/>
          <w:szCs w:val="20"/>
        </w:rPr>
        <w:t>d</w:t>
      </w:r>
      <w:r w:rsidRPr="006625B7">
        <w:rPr>
          <w:rFonts w:ascii="Arial" w:hAnsi="Arial" w:cs="Arial"/>
          <w:sz w:val="20"/>
          <w:szCs w:val="20"/>
        </w:rPr>
        <w:t xml:space="preserve">ata </w:t>
      </w:r>
      <w:r w:rsidR="009D7404" w:rsidRPr="006625B7">
        <w:rPr>
          <w:rFonts w:ascii="Arial" w:hAnsi="Arial" w:cs="Arial"/>
          <w:sz w:val="20"/>
          <w:szCs w:val="20"/>
        </w:rPr>
        <w:t xml:space="preserve">for the test patients </w:t>
      </w:r>
      <w:r w:rsidRPr="006625B7">
        <w:rPr>
          <w:rFonts w:ascii="Arial" w:hAnsi="Arial" w:cs="Arial"/>
          <w:sz w:val="20"/>
          <w:szCs w:val="20"/>
        </w:rPr>
        <w:t>(input can be performed using a manual or automated process)</w:t>
      </w:r>
    </w:p>
    <w:p w:rsidR="0049462B" w:rsidRPr="006625B7" w:rsidRDefault="0049462B" w:rsidP="000C4139">
      <w:pPr>
        <w:pStyle w:val="ListParagraph"/>
        <w:numPr>
          <w:ilvl w:val="0"/>
          <w:numId w:val="11"/>
        </w:numPr>
        <w:spacing w:line="300" w:lineRule="atLeast"/>
        <w:ind w:left="720"/>
        <w:jc w:val="both"/>
        <w:rPr>
          <w:rFonts w:ascii="Arial" w:hAnsi="Arial" w:cs="Arial"/>
          <w:sz w:val="20"/>
          <w:szCs w:val="20"/>
        </w:rPr>
      </w:pPr>
      <w:r w:rsidRPr="006625B7">
        <w:rPr>
          <w:rFonts w:ascii="Arial" w:hAnsi="Arial" w:cs="Arial"/>
          <w:sz w:val="20"/>
          <w:szCs w:val="20"/>
        </w:rPr>
        <w:t xml:space="preserve">Using the Vendor-identified EHR function(s) and the </w:t>
      </w:r>
      <w:r w:rsidR="00BA6EC3" w:rsidRPr="006625B7">
        <w:rPr>
          <w:rFonts w:ascii="Arial" w:hAnsi="Arial" w:cs="Arial"/>
          <w:sz w:val="20"/>
          <w:szCs w:val="20"/>
        </w:rPr>
        <w:t>provided</w:t>
      </w:r>
      <w:r w:rsidRPr="006625B7">
        <w:rPr>
          <w:rFonts w:ascii="Arial" w:hAnsi="Arial" w:cs="Arial"/>
          <w:sz w:val="20"/>
          <w:szCs w:val="20"/>
        </w:rPr>
        <w:t xml:space="preserve"> </w:t>
      </w:r>
      <w:r w:rsidR="00BA6EC3" w:rsidRPr="006625B7">
        <w:rPr>
          <w:rFonts w:ascii="Arial" w:hAnsi="Arial" w:cs="Arial"/>
          <w:sz w:val="20"/>
          <w:szCs w:val="20"/>
        </w:rPr>
        <w:t>t</w:t>
      </w:r>
      <w:r w:rsidRPr="006625B7">
        <w:rPr>
          <w:rFonts w:ascii="Arial" w:hAnsi="Arial" w:cs="Arial"/>
          <w:sz w:val="20"/>
          <w:szCs w:val="20"/>
        </w:rPr>
        <w:t xml:space="preserve">est </w:t>
      </w:r>
      <w:r w:rsidR="00BA6EC3" w:rsidRPr="006625B7">
        <w:rPr>
          <w:rFonts w:ascii="Arial" w:hAnsi="Arial" w:cs="Arial"/>
          <w:sz w:val="20"/>
          <w:szCs w:val="20"/>
        </w:rPr>
        <w:t>d</w:t>
      </w:r>
      <w:r w:rsidRPr="006625B7">
        <w:rPr>
          <w:rFonts w:ascii="Arial" w:hAnsi="Arial" w:cs="Arial"/>
          <w:sz w:val="20"/>
          <w:szCs w:val="20"/>
        </w:rPr>
        <w:t xml:space="preserve">ata, the Tester causes the EHR to generate </w:t>
      </w:r>
      <w:r w:rsidR="009D7404" w:rsidRPr="006625B7">
        <w:rPr>
          <w:rFonts w:ascii="Arial" w:hAnsi="Arial" w:cs="Arial"/>
          <w:sz w:val="20"/>
          <w:szCs w:val="20"/>
        </w:rPr>
        <w:t>the indicated</w:t>
      </w:r>
      <w:r w:rsidRPr="006625B7">
        <w:rPr>
          <w:rFonts w:ascii="Arial" w:hAnsi="Arial" w:cs="Arial"/>
          <w:sz w:val="20"/>
          <w:szCs w:val="20"/>
        </w:rPr>
        <w:t xml:space="preserve"> </w:t>
      </w:r>
      <w:r w:rsidR="00372124" w:rsidRPr="006625B7">
        <w:rPr>
          <w:rFonts w:ascii="Arial" w:hAnsi="Arial" w:cs="Arial"/>
          <w:sz w:val="20"/>
          <w:szCs w:val="20"/>
        </w:rPr>
        <w:t>immunization information</w:t>
      </w:r>
      <w:r w:rsidRPr="006625B7">
        <w:rPr>
          <w:rFonts w:ascii="Arial" w:hAnsi="Arial" w:cs="Arial"/>
          <w:sz w:val="20"/>
          <w:szCs w:val="20"/>
        </w:rPr>
        <w:t xml:space="preserve"> message </w:t>
      </w:r>
      <w:r w:rsidR="00372124" w:rsidRPr="006625B7">
        <w:rPr>
          <w:rFonts w:ascii="Arial" w:hAnsi="Arial" w:cs="Arial"/>
          <w:sz w:val="20"/>
          <w:szCs w:val="20"/>
        </w:rPr>
        <w:t xml:space="preserve">using </w:t>
      </w:r>
      <w:r w:rsidR="00B85E6B" w:rsidRPr="006625B7">
        <w:rPr>
          <w:rFonts w:ascii="Arial" w:hAnsi="Arial" w:cs="Arial"/>
          <w:sz w:val="20"/>
          <w:szCs w:val="20"/>
        </w:rPr>
        <w:t>the HL7 2.5.1 Implementation Guide for Immunization Messaging, Release 1.4</w:t>
      </w:r>
      <w:r w:rsidR="009D7404" w:rsidRPr="006625B7">
        <w:rPr>
          <w:rFonts w:ascii="Arial" w:hAnsi="Arial" w:cs="Arial"/>
          <w:sz w:val="20"/>
          <w:szCs w:val="20"/>
        </w:rPr>
        <w:t>,</w:t>
      </w:r>
      <w:r w:rsidR="00372124" w:rsidRPr="006625B7">
        <w:rPr>
          <w:rFonts w:ascii="Arial" w:hAnsi="Arial" w:cs="Arial"/>
          <w:sz w:val="20"/>
          <w:szCs w:val="20"/>
        </w:rPr>
        <w:t xml:space="preserve"> and the </w:t>
      </w:r>
      <w:r w:rsidR="00B85E6B" w:rsidRPr="006625B7">
        <w:rPr>
          <w:rFonts w:ascii="Arial" w:hAnsi="Arial" w:cs="Arial"/>
          <w:sz w:val="20"/>
          <w:szCs w:val="20"/>
        </w:rPr>
        <w:t>HL7 Standard Code Set CVX -- Vaccines Administered</w:t>
      </w:r>
      <w:r w:rsidR="00372124" w:rsidRPr="006625B7">
        <w:rPr>
          <w:rFonts w:ascii="Arial" w:hAnsi="Arial" w:cs="Arial"/>
          <w:sz w:val="20"/>
          <w:szCs w:val="20"/>
        </w:rPr>
        <w:t xml:space="preserve"> vocabulary standard</w:t>
      </w:r>
    </w:p>
    <w:p w:rsidR="009D7404" w:rsidRPr="006625B7" w:rsidRDefault="009D7404" w:rsidP="000C4139">
      <w:pPr>
        <w:pStyle w:val="ListParagraph"/>
        <w:numPr>
          <w:ilvl w:val="0"/>
          <w:numId w:val="11"/>
        </w:numPr>
        <w:spacing w:line="300" w:lineRule="atLeast"/>
        <w:ind w:left="720"/>
        <w:jc w:val="both"/>
        <w:rPr>
          <w:rFonts w:ascii="Arial" w:hAnsi="Arial" w:cs="Arial"/>
          <w:sz w:val="20"/>
          <w:szCs w:val="20"/>
        </w:rPr>
      </w:pPr>
      <w:r w:rsidRPr="006625B7">
        <w:rPr>
          <w:rFonts w:ascii="Arial" w:hAnsi="Arial" w:cs="Arial"/>
          <w:sz w:val="20"/>
          <w:szCs w:val="20"/>
        </w:rPr>
        <w:t xml:space="preserve">Using the Vendor-identified EHR function(s), the Tester  </w:t>
      </w:r>
      <w:r w:rsidR="00590715" w:rsidRPr="006625B7">
        <w:rPr>
          <w:rFonts w:ascii="Arial" w:hAnsi="Arial" w:cs="Arial"/>
          <w:sz w:val="20"/>
          <w:szCs w:val="20"/>
        </w:rPr>
        <w:t>import</w:t>
      </w:r>
      <w:r w:rsidR="00BA6EC3" w:rsidRPr="006625B7">
        <w:rPr>
          <w:rFonts w:ascii="Arial" w:hAnsi="Arial" w:cs="Arial"/>
          <w:sz w:val="20"/>
          <w:szCs w:val="20"/>
        </w:rPr>
        <w:t>s</w:t>
      </w:r>
      <w:r w:rsidRPr="006625B7">
        <w:rPr>
          <w:rFonts w:ascii="Arial" w:hAnsi="Arial" w:cs="Arial"/>
          <w:sz w:val="20"/>
          <w:szCs w:val="20"/>
        </w:rPr>
        <w:t xml:space="preserve"> the message </w:t>
      </w:r>
      <w:r w:rsidR="00BA6EC3" w:rsidRPr="006625B7">
        <w:rPr>
          <w:rFonts w:ascii="Arial" w:hAnsi="Arial" w:cs="Arial"/>
          <w:sz w:val="20"/>
          <w:szCs w:val="20"/>
        </w:rPr>
        <w:t>in</w:t>
      </w:r>
      <w:r w:rsidRPr="006625B7">
        <w:rPr>
          <w:rFonts w:ascii="Arial" w:hAnsi="Arial" w:cs="Arial"/>
          <w:sz w:val="20"/>
          <w:szCs w:val="20"/>
        </w:rPr>
        <w:t>to the NIST Immunization Conformance Test Tool,</w:t>
      </w:r>
    </w:p>
    <w:p w:rsidR="00C47FDC" w:rsidRPr="00B85E6B" w:rsidRDefault="00C47FDC" w:rsidP="000C4139">
      <w:pPr>
        <w:pStyle w:val="ListParagraph"/>
        <w:numPr>
          <w:ilvl w:val="0"/>
          <w:numId w:val="11"/>
        </w:numPr>
        <w:spacing w:line="300" w:lineRule="atLeast"/>
        <w:ind w:left="720"/>
        <w:jc w:val="both"/>
        <w:rPr>
          <w:rFonts w:ascii="Arial" w:hAnsi="Arial" w:cs="Arial"/>
          <w:sz w:val="20"/>
          <w:szCs w:val="20"/>
        </w:rPr>
      </w:pPr>
      <w:r w:rsidRPr="00B85E6B">
        <w:rPr>
          <w:rFonts w:ascii="Arial" w:hAnsi="Arial" w:cs="Arial"/>
          <w:sz w:val="20"/>
          <w:szCs w:val="20"/>
        </w:rPr>
        <w:t xml:space="preserve">Using the Validation Report produced by the NIST </w:t>
      </w:r>
      <w:r w:rsidR="00CB360C" w:rsidRPr="00B85E6B">
        <w:rPr>
          <w:rFonts w:ascii="Arial" w:hAnsi="Arial" w:cs="Arial"/>
          <w:sz w:val="20"/>
          <w:szCs w:val="20"/>
        </w:rPr>
        <w:t>Immunization</w:t>
      </w:r>
      <w:r w:rsidRPr="00B85E6B">
        <w:rPr>
          <w:rFonts w:ascii="Arial" w:hAnsi="Arial" w:cs="Arial"/>
          <w:sz w:val="20"/>
          <w:szCs w:val="20"/>
        </w:rPr>
        <w:t xml:space="preserve"> Conformance Test Tool, the Tester verifies that the Implementation Guide conformance requirements </w:t>
      </w:r>
      <w:r w:rsidR="00C31352">
        <w:rPr>
          <w:rFonts w:ascii="Arial" w:hAnsi="Arial" w:cs="Arial"/>
          <w:sz w:val="20"/>
          <w:szCs w:val="20"/>
        </w:rPr>
        <w:t xml:space="preserve">tested </w:t>
      </w:r>
      <w:r w:rsidRPr="00B85E6B">
        <w:rPr>
          <w:rFonts w:ascii="Arial" w:hAnsi="Arial" w:cs="Arial"/>
          <w:sz w:val="20"/>
          <w:szCs w:val="20"/>
        </w:rPr>
        <w:t xml:space="preserve">are met and that the CVX codes are appropriate for the immunization information message </w:t>
      </w:r>
    </w:p>
    <w:p w:rsidR="001A6280" w:rsidRPr="00B85E6B" w:rsidRDefault="001A6280" w:rsidP="00E156BB">
      <w:pPr>
        <w:autoSpaceDE w:val="0"/>
        <w:autoSpaceDN w:val="0"/>
        <w:adjustRightInd w:val="0"/>
        <w:spacing w:line="300" w:lineRule="atLeast"/>
        <w:ind w:left="360"/>
        <w:rPr>
          <w:rFonts w:cs="Arial"/>
        </w:rPr>
      </w:pPr>
    </w:p>
    <w:p w:rsidR="0049462B" w:rsidRDefault="0049462B" w:rsidP="00E156BB">
      <w:pPr>
        <w:autoSpaceDE w:val="0"/>
        <w:autoSpaceDN w:val="0"/>
        <w:adjustRightInd w:val="0"/>
        <w:spacing w:line="300" w:lineRule="atLeast"/>
        <w:ind w:left="360"/>
      </w:pPr>
    </w:p>
    <w:p w:rsidR="00916626" w:rsidRDefault="00916626" w:rsidP="00E156BB">
      <w:pPr>
        <w:autoSpaceDE w:val="0"/>
        <w:autoSpaceDN w:val="0"/>
        <w:adjustRightInd w:val="0"/>
        <w:spacing w:line="300" w:lineRule="atLeast"/>
        <w:ind w:left="360"/>
      </w:pPr>
    </w:p>
    <w:p w:rsidR="00372124" w:rsidRDefault="00372124">
      <w:pPr>
        <w:rPr>
          <w:rFonts w:ascii="Arial Narrow Bold" w:hAnsi="Arial Narrow Bold" w:cs="Arial"/>
          <w:b/>
          <w:bCs/>
          <w:smallCaps/>
          <w:sz w:val="28"/>
          <w:szCs w:val="26"/>
        </w:rPr>
      </w:pPr>
      <w:r>
        <w:br w:type="page"/>
      </w:r>
    </w:p>
    <w:p w:rsidR="00195A60" w:rsidRDefault="00195A60" w:rsidP="00195A60">
      <w:pPr>
        <w:pStyle w:val="Heading3"/>
        <w:numPr>
          <w:ilvl w:val="0"/>
          <w:numId w:val="0"/>
        </w:numPr>
      </w:pPr>
      <w:r w:rsidRPr="000E34D6">
        <w:lastRenderedPageBreak/>
        <w:t>Referenced Standards</w:t>
      </w:r>
    </w:p>
    <w:p w:rsidR="005F5EF9" w:rsidRPr="005F5EF9" w:rsidRDefault="005F5EF9" w:rsidP="005F5EF9"/>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tblPr>
      <w:tblGrid>
        <w:gridCol w:w="5148"/>
        <w:gridCol w:w="4068"/>
      </w:tblGrid>
      <w:tr w:rsidR="005F5EF9" w:rsidRPr="00895C3D" w:rsidTr="00174666">
        <w:trPr>
          <w:cantSplit/>
          <w:tblHeader/>
          <w:jc w:val="center"/>
        </w:trPr>
        <w:tc>
          <w:tcPr>
            <w:tcW w:w="5148" w:type="dxa"/>
            <w:tcBorders>
              <w:top w:val="nil"/>
              <w:left w:val="nil"/>
              <w:bottom w:val="single" w:sz="12" w:space="0" w:color="448FD3"/>
              <w:right w:val="nil"/>
              <w:tl2br w:val="nil"/>
              <w:tr2bl w:val="nil"/>
            </w:tcBorders>
            <w:shd w:val="clear" w:color="auto" w:fill="448FD4"/>
            <w:tcMar>
              <w:left w:w="115" w:type="dxa"/>
              <w:right w:w="115" w:type="dxa"/>
            </w:tcMar>
            <w:vAlign w:val="center"/>
          </w:tcPr>
          <w:p w:rsidR="005F5EF9" w:rsidRPr="003555D2" w:rsidRDefault="005F5EF9" w:rsidP="00174666">
            <w:pPr>
              <w:autoSpaceDE w:val="0"/>
              <w:autoSpaceDN w:val="0"/>
              <w:adjustRightInd w:val="0"/>
              <w:spacing w:before="60" w:after="60"/>
              <w:ind w:left="360"/>
              <w:rPr>
                <w:b/>
                <w:sz w:val="18"/>
                <w:szCs w:val="18"/>
              </w:rPr>
            </w:pPr>
            <w:r w:rsidRPr="003555D2">
              <w:rPr>
                <w:rFonts w:cs="Arial"/>
                <w:b/>
                <w:color w:val="FFFFFF"/>
                <w:sz w:val="18"/>
                <w:szCs w:val="18"/>
              </w:rPr>
              <w:t>§170.205 Content exchange standards and implementation specifications for exchanging electronic health information.</w:t>
            </w:r>
          </w:p>
        </w:tc>
        <w:tc>
          <w:tcPr>
            <w:tcW w:w="4068" w:type="dxa"/>
            <w:tcBorders>
              <w:top w:val="nil"/>
              <w:left w:val="nil"/>
              <w:bottom w:val="single" w:sz="12" w:space="0" w:color="448FD3"/>
              <w:right w:val="nil"/>
              <w:tl2br w:val="nil"/>
              <w:tr2bl w:val="nil"/>
            </w:tcBorders>
            <w:shd w:val="clear" w:color="auto" w:fill="448FD4"/>
            <w:tcMar>
              <w:left w:w="115" w:type="dxa"/>
              <w:right w:w="115" w:type="dxa"/>
            </w:tcMar>
            <w:vAlign w:val="center"/>
          </w:tcPr>
          <w:p w:rsidR="005F5EF9" w:rsidRPr="00895C3D" w:rsidRDefault="005F5EF9" w:rsidP="00174666">
            <w:pPr>
              <w:keepNext/>
              <w:spacing w:before="60" w:after="60"/>
              <w:jc w:val="center"/>
              <w:rPr>
                <w:rFonts w:cs="Arial"/>
                <w:b/>
                <w:color w:val="FFFFFF"/>
                <w:sz w:val="18"/>
                <w:szCs w:val="18"/>
              </w:rPr>
            </w:pPr>
            <w:r w:rsidRPr="00895C3D">
              <w:rPr>
                <w:rFonts w:cs="Arial"/>
                <w:b/>
                <w:color w:val="FFFFFF"/>
                <w:sz w:val="18"/>
                <w:szCs w:val="18"/>
              </w:rPr>
              <w:t>Regulatory Referenced Standard</w:t>
            </w:r>
          </w:p>
        </w:tc>
      </w:tr>
      <w:tr w:rsidR="005F5EF9" w:rsidRPr="003D78B5" w:rsidTr="00174666">
        <w:trPr>
          <w:cantSplit/>
          <w:jc w:val="center"/>
        </w:trPr>
        <w:tc>
          <w:tcPr>
            <w:tcW w:w="5148" w:type="dxa"/>
            <w:tcMar>
              <w:top w:w="43" w:type="dxa"/>
              <w:bottom w:w="43" w:type="dxa"/>
            </w:tcMar>
          </w:tcPr>
          <w:p w:rsidR="005F5EF9" w:rsidRPr="003D78B5" w:rsidRDefault="005F5EF9" w:rsidP="00A5292F">
            <w:pPr>
              <w:rPr>
                <w:rFonts w:cs="Arial"/>
                <w:sz w:val="18"/>
                <w:szCs w:val="18"/>
              </w:rPr>
            </w:pPr>
            <w:r w:rsidRPr="003D78B5">
              <w:rPr>
                <w:rFonts w:cs="Arial"/>
                <w:sz w:val="18"/>
                <w:szCs w:val="18"/>
              </w:rPr>
              <w:t xml:space="preserve">The Secretary adopts the following content exchange standards and associated implementation specifications: </w:t>
            </w:r>
          </w:p>
        </w:tc>
        <w:tc>
          <w:tcPr>
            <w:tcW w:w="4068" w:type="dxa"/>
            <w:tcMar>
              <w:top w:w="43" w:type="dxa"/>
              <w:bottom w:w="43" w:type="dxa"/>
            </w:tcMar>
          </w:tcPr>
          <w:p w:rsidR="005F5EF9" w:rsidRPr="003D78B5" w:rsidRDefault="005F5EF9" w:rsidP="00A5292F">
            <w:pPr>
              <w:pStyle w:val="NormalWeb"/>
              <w:spacing w:before="0" w:beforeAutospacing="0" w:after="0" w:afterAutospacing="0"/>
              <w:rPr>
                <w:rFonts w:ascii="Arial" w:hAnsi="Arial" w:cs="Arial"/>
                <w:sz w:val="18"/>
                <w:szCs w:val="18"/>
              </w:rPr>
            </w:pPr>
          </w:p>
        </w:tc>
      </w:tr>
      <w:tr w:rsidR="005F5EF9" w:rsidRPr="00251070" w:rsidTr="00174666">
        <w:trPr>
          <w:cantSplit/>
          <w:jc w:val="center"/>
        </w:trPr>
        <w:tc>
          <w:tcPr>
            <w:tcW w:w="5148" w:type="dxa"/>
            <w:tcMar>
              <w:top w:w="43" w:type="dxa"/>
              <w:bottom w:w="43" w:type="dxa"/>
            </w:tcMar>
          </w:tcPr>
          <w:p w:rsidR="00251070" w:rsidRPr="00251070" w:rsidRDefault="00A5292F" w:rsidP="00251070">
            <w:pPr>
              <w:autoSpaceDE w:val="0"/>
              <w:autoSpaceDN w:val="0"/>
              <w:adjustRightInd w:val="0"/>
              <w:rPr>
                <w:rFonts w:cs="Arial"/>
                <w:color w:val="000000"/>
                <w:sz w:val="18"/>
                <w:szCs w:val="18"/>
              </w:rPr>
            </w:pPr>
            <w:r w:rsidRPr="00251070">
              <w:rPr>
                <w:rFonts w:cs="Arial"/>
                <w:sz w:val="18"/>
                <w:szCs w:val="18"/>
              </w:rPr>
              <w:t xml:space="preserve">(e)(3) </w:t>
            </w:r>
            <w:r w:rsidR="00251070" w:rsidRPr="00251070">
              <w:rPr>
                <w:rFonts w:cs="Arial"/>
                <w:color w:val="000000"/>
                <w:sz w:val="18"/>
                <w:szCs w:val="18"/>
              </w:rPr>
              <w:t>Standard. HL7 2.5.1 (incorporated by reference in § 170.299). Implementation specifications.</w:t>
            </w:r>
          </w:p>
          <w:p w:rsidR="005F5EF9" w:rsidRPr="00BD72EF" w:rsidRDefault="00251070" w:rsidP="00BD72EF">
            <w:pPr>
              <w:autoSpaceDE w:val="0"/>
              <w:autoSpaceDN w:val="0"/>
              <w:adjustRightInd w:val="0"/>
              <w:rPr>
                <w:rFonts w:cs="Arial"/>
                <w:color w:val="000000"/>
                <w:sz w:val="18"/>
                <w:szCs w:val="18"/>
              </w:rPr>
            </w:pPr>
            <w:r w:rsidRPr="00251070">
              <w:rPr>
                <w:rFonts w:cs="Arial"/>
                <w:color w:val="000000"/>
                <w:sz w:val="18"/>
                <w:szCs w:val="18"/>
              </w:rPr>
              <w:t>HL7 2.5.1 Implementation Guide for Immunization Messaging, Release 1.4, (incorporated by</w:t>
            </w:r>
            <w:r w:rsidR="00BD72EF">
              <w:rPr>
                <w:rFonts w:cs="Arial"/>
                <w:color w:val="000000"/>
                <w:sz w:val="18"/>
                <w:szCs w:val="18"/>
              </w:rPr>
              <w:t xml:space="preserve"> </w:t>
            </w:r>
            <w:r w:rsidRPr="00251070">
              <w:rPr>
                <w:rFonts w:cs="Arial"/>
                <w:color w:val="000000"/>
                <w:sz w:val="18"/>
                <w:szCs w:val="18"/>
              </w:rPr>
              <w:t>reference in § 170.299).</w:t>
            </w:r>
          </w:p>
        </w:tc>
        <w:tc>
          <w:tcPr>
            <w:tcW w:w="4068" w:type="dxa"/>
            <w:tcMar>
              <w:top w:w="43" w:type="dxa"/>
              <w:bottom w:w="43" w:type="dxa"/>
            </w:tcMar>
          </w:tcPr>
          <w:p w:rsidR="005F5EF9" w:rsidRPr="00251070" w:rsidRDefault="005F5EF9" w:rsidP="00251070">
            <w:pPr>
              <w:rPr>
                <w:rFonts w:cs="Arial"/>
                <w:sz w:val="18"/>
                <w:szCs w:val="18"/>
              </w:rPr>
            </w:pPr>
          </w:p>
        </w:tc>
      </w:tr>
      <w:tr w:rsidR="005F5EF9" w:rsidRPr="00895C3D" w:rsidTr="00174666">
        <w:trPr>
          <w:cantSplit/>
          <w:tblHeader/>
          <w:jc w:val="center"/>
        </w:trPr>
        <w:tc>
          <w:tcPr>
            <w:tcW w:w="5148" w:type="dxa"/>
            <w:tcBorders>
              <w:top w:val="nil"/>
              <w:left w:val="nil"/>
              <w:bottom w:val="single" w:sz="12" w:space="0" w:color="448FD3"/>
              <w:right w:val="nil"/>
              <w:tl2br w:val="nil"/>
              <w:tr2bl w:val="nil"/>
            </w:tcBorders>
            <w:shd w:val="clear" w:color="auto" w:fill="448FD4"/>
            <w:tcMar>
              <w:left w:w="115" w:type="dxa"/>
              <w:right w:w="115" w:type="dxa"/>
            </w:tcMar>
            <w:vAlign w:val="center"/>
          </w:tcPr>
          <w:p w:rsidR="005F5EF9" w:rsidRPr="003D78B5" w:rsidRDefault="005F5EF9" w:rsidP="00174666">
            <w:pPr>
              <w:autoSpaceDE w:val="0"/>
              <w:autoSpaceDN w:val="0"/>
              <w:adjustRightInd w:val="0"/>
              <w:spacing w:before="60" w:after="60"/>
              <w:ind w:left="360"/>
              <w:rPr>
                <w:sz w:val="18"/>
              </w:rPr>
            </w:pPr>
            <w:r w:rsidRPr="003555D2">
              <w:rPr>
                <w:rFonts w:cs="Arial"/>
                <w:b/>
                <w:color w:val="FFFFFF"/>
                <w:sz w:val="18"/>
                <w:szCs w:val="18"/>
              </w:rPr>
              <w:t xml:space="preserve">§170.207 </w:t>
            </w:r>
            <w:r w:rsidRPr="003555D2">
              <w:rPr>
                <w:rFonts w:cs="Arial"/>
                <w:b/>
                <w:color w:val="FFFFFF"/>
                <w:sz w:val="18"/>
              </w:rPr>
              <w:t>Vocabulary standards for representing electronic health information.</w:t>
            </w:r>
          </w:p>
        </w:tc>
        <w:tc>
          <w:tcPr>
            <w:tcW w:w="4068" w:type="dxa"/>
            <w:tcBorders>
              <w:top w:val="nil"/>
              <w:left w:val="nil"/>
              <w:bottom w:val="single" w:sz="12" w:space="0" w:color="448FD3"/>
              <w:right w:val="nil"/>
              <w:tl2br w:val="nil"/>
              <w:tr2bl w:val="nil"/>
            </w:tcBorders>
            <w:shd w:val="clear" w:color="auto" w:fill="448FD4"/>
            <w:tcMar>
              <w:left w:w="115" w:type="dxa"/>
              <w:right w:w="115" w:type="dxa"/>
            </w:tcMar>
            <w:vAlign w:val="center"/>
          </w:tcPr>
          <w:p w:rsidR="005F5EF9" w:rsidRPr="00895C3D" w:rsidRDefault="005F5EF9" w:rsidP="00174666">
            <w:pPr>
              <w:keepNext/>
              <w:spacing w:before="60" w:after="60"/>
              <w:jc w:val="center"/>
              <w:rPr>
                <w:rFonts w:cs="Arial"/>
                <w:b/>
                <w:color w:val="FFFFFF"/>
                <w:sz w:val="18"/>
                <w:szCs w:val="18"/>
              </w:rPr>
            </w:pPr>
            <w:r w:rsidRPr="00895C3D">
              <w:rPr>
                <w:rFonts w:cs="Arial"/>
                <w:b/>
                <w:color w:val="FFFFFF"/>
                <w:sz w:val="18"/>
                <w:szCs w:val="18"/>
              </w:rPr>
              <w:t>Regulatory Referenced Standard</w:t>
            </w:r>
          </w:p>
        </w:tc>
      </w:tr>
      <w:tr w:rsidR="005F5EF9" w:rsidRPr="003D78B5" w:rsidTr="00174666">
        <w:trPr>
          <w:cantSplit/>
          <w:jc w:val="center"/>
        </w:trPr>
        <w:tc>
          <w:tcPr>
            <w:tcW w:w="5148" w:type="dxa"/>
            <w:tcMar>
              <w:top w:w="43" w:type="dxa"/>
              <w:bottom w:w="43" w:type="dxa"/>
            </w:tcMar>
          </w:tcPr>
          <w:p w:rsidR="005F5EF9" w:rsidRPr="003D78B5" w:rsidRDefault="005F5EF9" w:rsidP="00174666">
            <w:pPr>
              <w:rPr>
                <w:rFonts w:cs="Arial"/>
                <w:sz w:val="18"/>
              </w:rPr>
            </w:pPr>
            <w:r w:rsidRPr="003D78B5">
              <w:rPr>
                <w:rFonts w:cs="Arial"/>
                <w:sz w:val="18"/>
              </w:rPr>
              <w:t xml:space="preserve">The Secretary adopts the following code sets, terminology, and nomenclature as the vocabulary standards for the purpose of representing electronic health information: </w:t>
            </w:r>
          </w:p>
        </w:tc>
        <w:tc>
          <w:tcPr>
            <w:tcW w:w="4068" w:type="dxa"/>
            <w:tcMar>
              <w:top w:w="43" w:type="dxa"/>
              <w:bottom w:w="43" w:type="dxa"/>
            </w:tcMar>
          </w:tcPr>
          <w:p w:rsidR="005F5EF9" w:rsidRPr="003D78B5" w:rsidRDefault="005F5EF9" w:rsidP="00174666">
            <w:pPr>
              <w:pStyle w:val="NormalWeb"/>
              <w:spacing w:before="0" w:beforeAutospacing="0" w:after="0" w:afterAutospacing="0"/>
              <w:rPr>
                <w:rFonts w:ascii="Arial" w:hAnsi="Arial" w:cs="Arial"/>
                <w:sz w:val="18"/>
                <w:szCs w:val="18"/>
              </w:rPr>
            </w:pPr>
          </w:p>
        </w:tc>
      </w:tr>
      <w:tr w:rsidR="005F5EF9" w:rsidRPr="00251070" w:rsidTr="00174666">
        <w:trPr>
          <w:cantSplit/>
          <w:jc w:val="center"/>
        </w:trPr>
        <w:tc>
          <w:tcPr>
            <w:tcW w:w="5148" w:type="dxa"/>
            <w:tcMar>
              <w:top w:w="43" w:type="dxa"/>
              <w:bottom w:w="43" w:type="dxa"/>
            </w:tcMar>
          </w:tcPr>
          <w:p w:rsidR="00A112E0" w:rsidRPr="00BD72EF" w:rsidRDefault="00251070" w:rsidP="00BD72EF">
            <w:pPr>
              <w:autoSpaceDE w:val="0"/>
              <w:autoSpaceDN w:val="0"/>
              <w:adjustRightInd w:val="0"/>
              <w:rPr>
                <w:rFonts w:cs="Arial"/>
                <w:color w:val="000000"/>
                <w:sz w:val="18"/>
                <w:szCs w:val="18"/>
              </w:rPr>
            </w:pPr>
            <w:r w:rsidRPr="00251070">
              <w:rPr>
                <w:rFonts w:cs="Arial"/>
                <w:color w:val="000000"/>
                <w:sz w:val="18"/>
                <w:szCs w:val="18"/>
              </w:rPr>
              <w:t>(e)(2) Standard. HL7 Standard Code Set CVX -- Vaccines Administered, updates through July 11, 2012 (incorporated by reference in § 170.299).</w:t>
            </w:r>
            <w:bookmarkStart w:id="0" w:name="_GoBack"/>
            <w:bookmarkEnd w:id="0"/>
          </w:p>
        </w:tc>
        <w:tc>
          <w:tcPr>
            <w:tcW w:w="4068" w:type="dxa"/>
            <w:tcMar>
              <w:top w:w="43" w:type="dxa"/>
              <w:bottom w:w="43" w:type="dxa"/>
            </w:tcMar>
          </w:tcPr>
          <w:p w:rsidR="005F5EF9" w:rsidRPr="00251070" w:rsidRDefault="005F5EF9" w:rsidP="00251070">
            <w:pPr>
              <w:pStyle w:val="NormalWeb"/>
              <w:spacing w:before="0" w:beforeAutospacing="0" w:after="0" w:afterAutospacing="0"/>
              <w:rPr>
                <w:rFonts w:ascii="Arial" w:hAnsi="Arial" w:cs="Arial"/>
                <w:sz w:val="18"/>
                <w:szCs w:val="18"/>
              </w:rPr>
            </w:pPr>
          </w:p>
          <w:p w:rsidR="005F5EF9" w:rsidRPr="00251070" w:rsidRDefault="005F5EF9" w:rsidP="00251070">
            <w:pPr>
              <w:rPr>
                <w:rFonts w:cs="Arial"/>
                <w:sz w:val="18"/>
                <w:szCs w:val="18"/>
              </w:rPr>
            </w:pPr>
          </w:p>
        </w:tc>
      </w:tr>
    </w:tbl>
    <w:p w:rsidR="005F5EF9" w:rsidRDefault="005F5EF9" w:rsidP="005D4E15">
      <w:pPr>
        <w:spacing w:line="300" w:lineRule="atLeast"/>
        <w:rPr>
          <w:rFonts w:cs="Arial"/>
        </w:rPr>
      </w:pPr>
    </w:p>
    <w:p w:rsidR="005F5EF9" w:rsidRPr="007737B2" w:rsidRDefault="005F5EF9" w:rsidP="005D4E15">
      <w:pPr>
        <w:spacing w:line="300" w:lineRule="atLeast"/>
        <w:rPr>
          <w:rFonts w:cs="Calibri"/>
          <w:bCs/>
          <w:color w:val="000000"/>
          <w:highlight w:val="lightGray"/>
        </w:rPr>
      </w:pPr>
    </w:p>
    <w:p w:rsidR="00E40745" w:rsidRDefault="00E40745">
      <w:pPr>
        <w:rPr>
          <w:rFonts w:ascii="Arial Narrow Bold" w:hAnsi="Arial Narrow Bold" w:cs="Arial"/>
          <w:b/>
          <w:bCs/>
          <w:smallCaps/>
          <w:sz w:val="28"/>
          <w:szCs w:val="26"/>
        </w:rPr>
      </w:pPr>
      <w:r>
        <w:br w:type="page"/>
      </w:r>
    </w:p>
    <w:p w:rsidR="00BF038D" w:rsidRPr="00B80F6C" w:rsidRDefault="00BF038D" w:rsidP="00BF038D">
      <w:pPr>
        <w:pStyle w:val="Heading3"/>
        <w:numPr>
          <w:ilvl w:val="0"/>
          <w:numId w:val="0"/>
        </w:numPr>
      </w:pPr>
      <w:r w:rsidRPr="00B80F6C">
        <w:lastRenderedPageBreak/>
        <w:t>Normative Test Procedures</w:t>
      </w:r>
    </w:p>
    <w:p w:rsidR="00BF038D" w:rsidRPr="0074783F" w:rsidRDefault="00BF038D" w:rsidP="0074783F">
      <w:pPr>
        <w:spacing w:line="300" w:lineRule="atLeast"/>
        <w:rPr>
          <w:rFonts w:cs="Arial"/>
          <w:b/>
        </w:rPr>
      </w:pPr>
      <w:r w:rsidRPr="0074783F">
        <w:rPr>
          <w:rFonts w:cs="Arial"/>
          <w:b/>
        </w:rPr>
        <w:t>Derived Test Requirements</w:t>
      </w:r>
    </w:p>
    <w:p w:rsidR="00BF038D" w:rsidRDefault="00BF038D" w:rsidP="0074783F">
      <w:pPr>
        <w:spacing w:line="300" w:lineRule="atLeast"/>
        <w:rPr>
          <w:rFonts w:cs="Arial"/>
        </w:rPr>
      </w:pPr>
      <w:proofErr w:type="gramStart"/>
      <w:r w:rsidRPr="0074783F">
        <w:rPr>
          <w:rFonts w:cs="Arial"/>
        </w:rPr>
        <w:t>DTR</w:t>
      </w:r>
      <w:r w:rsidR="007165E6" w:rsidRPr="0074783F">
        <w:rPr>
          <w:rFonts w:cs="Arial"/>
        </w:rPr>
        <w:t>170.3</w:t>
      </w:r>
      <w:r w:rsidR="00B80F6C" w:rsidRPr="0074783F">
        <w:rPr>
          <w:rFonts w:cs="Arial"/>
        </w:rPr>
        <w:t>14(</w:t>
      </w:r>
      <w:proofErr w:type="gramEnd"/>
      <w:r w:rsidR="00EF0434" w:rsidRPr="0074783F">
        <w:rPr>
          <w:rFonts w:cs="Arial"/>
        </w:rPr>
        <w:t>f</w:t>
      </w:r>
      <w:r w:rsidR="00B80F6C" w:rsidRPr="0074783F">
        <w:rPr>
          <w:rFonts w:cs="Arial"/>
        </w:rPr>
        <w:t>)(</w:t>
      </w:r>
      <w:r w:rsidR="00EF0434" w:rsidRPr="0074783F">
        <w:rPr>
          <w:rFonts w:cs="Arial"/>
        </w:rPr>
        <w:t>2</w:t>
      </w:r>
      <w:r w:rsidR="00B80F6C" w:rsidRPr="0074783F">
        <w:rPr>
          <w:rFonts w:cs="Arial"/>
        </w:rPr>
        <w:t>)</w:t>
      </w:r>
      <w:r w:rsidR="002C53A0" w:rsidRPr="0074783F">
        <w:rPr>
          <w:rFonts w:cs="Arial"/>
        </w:rPr>
        <w:t xml:space="preserve"> -</w:t>
      </w:r>
      <w:r w:rsidR="00896B00" w:rsidRPr="0074783F">
        <w:rPr>
          <w:rFonts w:cs="Arial"/>
        </w:rPr>
        <w:t xml:space="preserve"> </w:t>
      </w:r>
      <w:r w:rsidRPr="0074783F">
        <w:rPr>
          <w:rFonts w:cs="Arial"/>
        </w:rPr>
        <w:t xml:space="preserve">1: </w:t>
      </w:r>
      <w:r w:rsidR="00E220FD" w:rsidRPr="0074783F">
        <w:rPr>
          <w:rFonts w:cs="Arial"/>
        </w:rPr>
        <w:t xml:space="preserve">Electronically </w:t>
      </w:r>
      <w:r w:rsidR="00B80F6C" w:rsidRPr="0074783F">
        <w:rPr>
          <w:rFonts w:cs="Arial"/>
        </w:rPr>
        <w:t>Create</w:t>
      </w:r>
      <w:r w:rsidR="00E220FD" w:rsidRPr="0074783F">
        <w:rPr>
          <w:rFonts w:cs="Arial"/>
        </w:rPr>
        <w:t xml:space="preserve"> </w:t>
      </w:r>
      <w:r w:rsidR="00EF0434" w:rsidRPr="0074783F">
        <w:rPr>
          <w:rFonts w:cs="Arial"/>
        </w:rPr>
        <w:t>Immunization Information</w:t>
      </w:r>
      <w:r w:rsidR="008D41A0" w:rsidRPr="0074783F">
        <w:rPr>
          <w:rFonts w:cs="Arial"/>
        </w:rPr>
        <w:t xml:space="preserve"> </w:t>
      </w:r>
    </w:p>
    <w:p w:rsidR="00E40745" w:rsidRDefault="00E40745" w:rsidP="0074783F">
      <w:pPr>
        <w:spacing w:line="300" w:lineRule="atLeast"/>
        <w:rPr>
          <w:rFonts w:cs="Arial"/>
        </w:rPr>
      </w:pPr>
    </w:p>
    <w:p w:rsidR="00E40745" w:rsidRDefault="00E40745" w:rsidP="00E40745">
      <w:pPr>
        <w:spacing w:line="300" w:lineRule="atLeast"/>
        <w:rPr>
          <w:rFonts w:cs="Arial"/>
          <w:b/>
        </w:rPr>
      </w:pPr>
      <w:r w:rsidRPr="00E40745">
        <w:rPr>
          <w:rFonts w:cs="Arial"/>
          <w:b/>
        </w:rPr>
        <w:t>Figure 1</w:t>
      </w:r>
    </w:p>
    <w:p w:rsidR="00152178" w:rsidRPr="00E40745" w:rsidRDefault="00152178" w:rsidP="00E40745">
      <w:pPr>
        <w:spacing w:line="300" w:lineRule="atLeast"/>
        <w:rPr>
          <w:rFonts w:cs="Arial"/>
          <w:b/>
        </w:rPr>
      </w:pPr>
    </w:p>
    <w:p w:rsidR="003B747E" w:rsidRPr="0074783F" w:rsidRDefault="003B747E" w:rsidP="007E4A5E">
      <w:pPr>
        <w:spacing w:line="300" w:lineRule="atLeast"/>
        <w:rPr>
          <w:rFonts w:cs="Arial"/>
          <w:bCs/>
        </w:rPr>
      </w:pPr>
    </w:p>
    <w:p w:rsidR="00760FC3" w:rsidRPr="0074783F" w:rsidRDefault="000019E9" w:rsidP="0074783F">
      <w:pPr>
        <w:spacing w:line="300" w:lineRule="atLeast"/>
        <w:rPr>
          <w:rFonts w:cs="Arial"/>
          <w:b/>
        </w:rPr>
      </w:pPr>
      <w:r>
        <w:rPr>
          <w:rFonts w:cs="Arial"/>
          <w:b/>
          <w:noProof/>
        </w:rPr>
        <w:drawing>
          <wp:inline distT="0" distB="0" distL="0" distR="0">
            <wp:extent cx="5943600" cy="4717143"/>
            <wp:effectExtent l="0" t="0" r="0" b="7620"/>
            <wp:docPr id="2" name="Picture 2" descr="C:\Users\539780\AppData\Local\Microsoft\Windows\Temporary Internet Files\Content.Outlook\JUD1ZZYB\ImmunizationTestingWorkFl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39780\AppData\Local\Microsoft\Windows\Temporary Internet Files\Content.Outlook\JUD1ZZYB\ImmunizationTestingWorkFlow (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717143"/>
                    </a:xfrm>
                    <a:prstGeom prst="rect">
                      <a:avLst/>
                    </a:prstGeom>
                    <a:noFill/>
                    <a:ln>
                      <a:noFill/>
                    </a:ln>
                  </pic:spPr>
                </pic:pic>
              </a:graphicData>
            </a:graphic>
          </wp:inline>
        </w:drawing>
      </w:r>
    </w:p>
    <w:p w:rsidR="000F7F5F" w:rsidRDefault="000F7F5F">
      <w:pPr>
        <w:rPr>
          <w:rFonts w:cs="Arial"/>
          <w:b/>
        </w:rPr>
      </w:pPr>
    </w:p>
    <w:p w:rsidR="00E40745" w:rsidRPr="000F7F5F" w:rsidRDefault="000F7F5F" w:rsidP="000F7F5F">
      <w:pPr>
        <w:spacing w:line="300" w:lineRule="atLeast"/>
        <w:rPr>
          <w:rFonts w:cs="Arial"/>
        </w:rPr>
      </w:pPr>
      <w:r w:rsidRPr="000F7F5F">
        <w:rPr>
          <w:rFonts w:cs="Arial"/>
        </w:rPr>
        <w:t>The instructions in the derived test procedure listed below reference the numbered test steps in Figure 1 above.</w:t>
      </w:r>
      <w:r w:rsidR="00E40745" w:rsidRPr="000F7F5F">
        <w:rPr>
          <w:rFonts w:cs="Arial"/>
        </w:rPr>
        <w:br w:type="page"/>
      </w:r>
    </w:p>
    <w:p w:rsidR="00EF0434" w:rsidRPr="0074783F" w:rsidRDefault="00EF0434" w:rsidP="0074783F">
      <w:pPr>
        <w:spacing w:line="300" w:lineRule="atLeast"/>
        <w:rPr>
          <w:rFonts w:cs="Arial"/>
          <w:b/>
        </w:rPr>
      </w:pPr>
      <w:proofErr w:type="gramStart"/>
      <w:r w:rsidRPr="0074783F">
        <w:rPr>
          <w:rFonts w:cs="Arial"/>
          <w:b/>
        </w:rPr>
        <w:lastRenderedPageBreak/>
        <w:t>DTR170.314(</w:t>
      </w:r>
      <w:proofErr w:type="gramEnd"/>
      <w:r w:rsidRPr="0074783F">
        <w:rPr>
          <w:rFonts w:cs="Arial"/>
          <w:b/>
        </w:rPr>
        <w:t xml:space="preserve">f)(2) - 1: Electronically Create Immunization Information </w:t>
      </w:r>
    </w:p>
    <w:p w:rsidR="005D4E15" w:rsidRPr="0074783F" w:rsidRDefault="005D4E15" w:rsidP="0074783F">
      <w:pPr>
        <w:spacing w:line="300" w:lineRule="atLeast"/>
        <w:rPr>
          <w:rFonts w:cs="Arial"/>
          <w:u w:val="single"/>
        </w:rPr>
      </w:pPr>
      <w:r w:rsidRPr="0074783F">
        <w:rPr>
          <w:rFonts w:cs="Arial"/>
          <w:u w:val="single"/>
        </w:rPr>
        <w:t>Required Vendor Information</w:t>
      </w:r>
    </w:p>
    <w:p w:rsidR="00F82B60" w:rsidRPr="00997579" w:rsidRDefault="00F82B60" w:rsidP="00F82B60">
      <w:pPr>
        <w:pStyle w:val="ListParagraph"/>
        <w:spacing w:line="300" w:lineRule="atLeast"/>
        <w:ind w:left="2250" w:hanging="2250"/>
        <w:rPr>
          <w:rFonts w:ascii="Arial" w:hAnsi="Arial" w:cs="Arial"/>
          <w:sz w:val="20"/>
          <w:szCs w:val="20"/>
        </w:rPr>
      </w:pPr>
      <w:r w:rsidRPr="00997579">
        <w:rPr>
          <w:rFonts w:ascii="Arial" w:hAnsi="Arial" w:cs="Arial"/>
          <w:sz w:val="20"/>
          <w:szCs w:val="20"/>
        </w:rPr>
        <w:t>VE170.314(</w:t>
      </w:r>
      <w:r>
        <w:rPr>
          <w:rFonts w:ascii="Arial" w:hAnsi="Arial" w:cs="Arial"/>
          <w:sz w:val="20"/>
          <w:szCs w:val="20"/>
        </w:rPr>
        <w:t>f</w:t>
      </w:r>
      <w:r w:rsidRPr="00997579">
        <w:rPr>
          <w:rFonts w:ascii="Arial" w:hAnsi="Arial" w:cs="Arial"/>
          <w:sz w:val="20"/>
          <w:szCs w:val="20"/>
        </w:rPr>
        <w:t>)(</w:t>
      </w:r>
      <w:r>
        <w:rPr>
          <w:rFonts w:ascii="Arial" w:hAnsi="Arial" w:cs="Arial"/>
          <w:sz w:val="20"/>
          <w:szCs w:val="20"/>
        </w:rPr>
        <w:t>2</w:t>
      </w:r>
      <w:r w:rsidRPr="00997579">
        <w:rPr>
          <w:rFonts w:ascii="Arial" w:hAnsi="Arial" w:cs="Arial"/>
          <w:sz w:val="20"/>
          <w:szCs w:val="20"/>
        </w:rPr>
        <w:t xml:space="preserve">) </w:t>
      </w:r>
      <w:r w:rsidRPr="00997579">
        <w:rPr>
          <w:rFonts w:ascii="Arial" w:hAnsi="Arial" w:cs="Arial"/>
          <w:bCs w:val="0"/>
          <w:sz w:val="20"/>
          <w:szCs w:val="20"/>
        </w:rPr>
        <w:t xml:space="preserve">– 1.01: </w:t>
      </w:r>
      <w:r w:rsidRPr="00997579">
        <w:rPr>
          <w:rFonts w:ascii="Arial" w:hAnsi="Arial" w:cs="Arial"/>
          <w:sz w:val="20"/>
          <w:szCs w:val="20"/>
        </w:rPr>
        <w:t xml:space="preserve">Vendor shall identify the EHR function(s) that are available to 1) input the Test Data into the EHR for the test patients, 2) create </w:t>
      </w:r>
      <w:r>
        <w:rPr>
          <w:rFonts w:ascii="Arial" w:hAnsi="Arial" w:cs="Arial"/>
          <w:sz w:val="20"/>
          <w:szCs w:val="20"/>
        </w:rPr>
        <w:t>immunization information</w:t>
      </w:r>
      <w:r w:rsidRPr="00997579">
        <w:rPr>
          <w:rFonts w:ascii="Arial" w:hAnsi="Arial" w:cs="Arial"/>
          <w:sz w:val="20"/>
          <w:szCs w:val="20"/>
        </w:rPr>
        <w:t xml:space="preserve"> messages using the Test Data, 3) </w:t>
      </w:r>
      <w:r w:rsidR="006F3E2E">
        <w:rPr>
          <w:rFonts w:ascii="Arial" w:hAnsi="Arial" w:cs="Arial"/>
          <w:sz w:val="20"/>
          <w:szCs w:val="20"/>
        </w:rPr>
        <w:t>import</w:t>
      </w:r>
      <w:r w:rsidRPr="00997579">
        <w:rPr>
          <w:rFonts w:ascii="Arial" w:hAnsi="Arial" w:cs="Arial"/>
          <w:sz w:val="20"/>
          <w:szCs w:val="20"/>
        </w:rPr>
        <w:t xml:space="preserve"> the </w:t>
      </w:r>
      <w:r>
        <w:rPr>
          <w:rFonts w:ascii="Arial" w:hAnsi="Arial" w:cs="Arial"/>
          <w:sz w:val="20"/>
          <w:szCs w:val="20"/>
        </w:rPr>
        <w:t>immunization information</w:t>
      </w:r>
      <w:r w:rsidRPr="00997579">
        <w:rPr>
          <w:rFonts w:ascii="Arial" w:hAnsi="Arial" w:cs="Arial"/>
          <w:sz w:val="20"/>
          <w:szCs w:val="20"/>
        </w:rPr>
        <w:t xml:space="preserve"> messages to the NIST </w:t>
      </w:r>
      <w:r w:rsidR="006F3E2E">
        <w:rPr>
          <w:rFonts w:ascii="Arial" w:hAnsi="Arial" w:cs="Arial"/>
          <w:sz w:val="20"/>
          <w:szCs w:val="20"/>
        </w:rPr>
        <w:t xml:space="preserve">Immunization Conformance </w:t>
      </w:r>
      <w:r w:rsidRPr="00997579">
        <w:rPr>
          <w:rFonts w:ascii="Arial" w:hAnsi="Arial" w:cs="Arial"/>
          <w:sz w:val="20"/>
          <w:szCs w:val="20"/>
        </w:rPr>
        <w:t>Test Tool</w:t>
      </w:r>
      <w:r>
        <w:rPr>
          <w:rFonts w:ascii="Arial" w:hAnsi="Arial" w:cs="Arial"/>
          <w:sz w:val="20"/>
          <w:szCs w:val="20"/>
        </w:rPr>
        <w:t xml:space="preserve">, and 4) </w:t>
      </w:r>
      <w:r w:rsidR="006F3E2E">
        <w:rPr>
          <w:rFonts w:ascii="Arial" w:hAnsi="Arial" w:cs="Arial"/>
          <w:sz w:val="20"/>
          <w:szCs w:val="20"/>
        </w:rPr>
        <w:t>demonstrate support for</w:t>
      </w:r>
      <w:r w:rsidRPr="00997579">
        <w:rPr>
          <w:rFonts w:ascii="Arial" w:hAnsi="Arial" w:cs="Arial"/>
          <w:sz w:val="20"/>
          <w:szCs w:val="20"/>
        </w:rPr>
        <w:t xml:space="preserve"> the </w:t>
      </w:r>
      <w:r>
        <w:rPr>
          <w:rFonts w:ascii="Arial" w:hAnsi="Arial" w:cs="Arial"/>
          <w:sz w:val="20"/>
          <w:szCs w:val="20"/>
        </w:rPr>
        <w:t xml:space="preserve">named standard vocabulary </w:t>
      </w:r>
      <w:r w:rsidRPr="00997579">
        <w:rPr>
          <w:rFonts w:ascii="Arial" w:hAnsi="Arial" w:cs="Arial"/>
          <w:sz w:val="20"/>
          <w:szCs w:val="20"/>
        </w:rPr>
        <w:t>value sets</w:t>
      </w:r>
      <w:r>
        <w:rPr>
          <w:rFonts w:ascii="Arial" w:hAnsi="Arial" w:cs="Arial"/>
          <w:sz w:val="20"/>
          <w:szCs w:val="20"/>
        </w:rPr>
        <w:t xml:space="preserve"> </w:t>
      </w:r>
    </w:p>
    <w:p w:rsidR="00F82B60" w:rsidRPr="00865606" w:rsidRDefault="00F82B60" w:rsidP="00F82B60">
      <w:pPr>
        <w:pStyle w:val="ListParagraph"/>
        <w:spacing w:line="300" w:lineRule="atLeast"/>
        <w:ind w:left="2250" w:hanging="2250"/>
        <w:rPr>
          <w:rFonts w:ascii="Arial" w:hAnsi="Arial" w:cs="Arial"/>
          <w:sz w:val="20"/>
          <w:szCs w:val="20"/>
        </w:rPr>
      </w:pPr>
      <w:proofErr w:type="gramStart"/>
      <w:r w:rsidRPr="00865606">
        <w:rPr>
          <w:rFonts w:ascii="Arial" w:hAnsi="Arial" w:cs="Arial"/>
          <w:sz w:val="20"/>
          <w:szCs w:val="20"/>
        </w:rPr>
        <w:t>VE170.</w:t>
      </w:r>
      <w:r w:rsidRPr="00865606">
        <w:rPr>
          <w:rFonts w:ascii="Arial" w:hAnsi="Arial" w:cs="Arial"/>
          <w:bCs w:val="0"/>
          <w:sz w:val="20"/>
          <w:szCs w:val="20"/>
        </w:rPr>
        <w:t>314(</w:t>
      </w:r>
      <w:proofErr w:type="gramEnd"/>
      <w:r>
        <w:rPr>
          <w:rFonts w:ascii="Arial" w:hAnsi="Arial" w:cs="Arial"/>
          <w:bCs w:val="0"/>
          <w:sz w:val="20"/>
          <w:szCs w:val="20"/>
        </w:rPr>
        <w:t>f</w:t>
      </w:r>
      <w:r w:rsidRPr="00865606">
        <w:rPr>
          <w:rFonts w:ascii="Arial" w:hAnsi="Arial" w:cs="Arial"/>
          <w:bCs w:val="0"/>
          <w:sz w:val="20"/>
          <w:szCs w:val="20"/>
        </w:rPr>
        <w:t>)(</w:t>
      </w:r>
      <w:r>
        <w:rPr>
          <w:rFonts w:ascii="Arial" w:hAnsi="Arial" w:cs="Arial"/>
          <w:bCs w:val="0"/>
          <w:sz w:val="20"/>
          <w:szCs w:val="20"/>
        </w:rPr>
        <w:t>2</w:t>
      </w:r>
      <w:r w:rsidRPr="00865606">
        <w:rPr>
          <w:rFonts w:ascii="Arial" w:hAnsi="Arial" w:cs="Arial"/>
          <w:bCs w:val="0"/>
          <w:sz w:val="20"/>
          <w:szCs w:val="20"/>
        </w:rPr>
        <w:t xml:space="preserve">) – 1.02: </w:t>
      </w:r>
      <w:r w:rsidRPr="00865606">
        <w:rPr>
          <w:rFonts w:ascii="Arial" w:hAnsi="Arial" w:cs="Arial"/>
          <w:sz w:val="20"/>
          <w:szCs w:val="20"/>
        </w:rPr>
        <w:t xml:space="preserve">Vendor shall provide </w:t>
      </w:r>
      <w:r w:rsidR="006120BA">
        <w:rPr>
          <w:rFonts w:ascii="Arial" w:hAnsi="Arial" w:cs="Arial"/>
          <w:sz w:val="20"/>
          <w:szCs w:val="20"/>
        </w:rPr>
        <w:t>the mechanism</w:t>
      </w:r>
      <w:r w:rsidRPr="00865606">
        <w:rPr>
          <w:rFonts w:ascii="Arial" w:hAnsi="Arial" w:cs="Arial"/>
          <w:sz w:val="20"/>
          <w:szCs w:val="20"/>
        </w:rPr>
        <w:t xml:space="preserve"> necessary to</w:t>
      </w:r>
      <w:r w:rsidR="006120BA">
        <w:rPr>
          <w:rFonts w:ascii="Arial" w:hAnsi="Arial" w:cs="Arial"/>
          <w:sz w:val="20"/>
          <w:szCs w:val="20"/>
        </w:rPr>
        <w:t xml:space="preserve"> capture and</w:t>
      </w:r>
      <w:r w:rsidRPr="00865606">
        <w:rPr>
          <w:rFonts w:ascii="Arial" w:hAnsi="Arial" w:cs="Arial"/>
          <w:sz w:val="20"/>
          <w:szCs w:val="20"/>
        </w:rPr>
        <w:t xml:space="preserve"> </w:t>
      </w:r>
      <w:r w:rsidR="006F3E2E">
        <w:rPr>
          <w:rFonts w:ascii="Arial" w:hAnsi="Arial" w:cs="Arial"/>
          <w:sz w:val="20"/>
          <w:szCs w:val="20"/>
        </w:rPr>
        <w:t>import</w:t>
      </w:r>
      <w:r w:rsidRPr="00865606">
        <w:rPr>
          <w:rFonts w:ascii="Arial" w:hAnsi="Arial" w:cs="Arial"/>
          <w:sz w:val="20"/>
          <w:szCs w:val="20"/>
        </w:rPr>
        <w:t xml:space="preserve"> </w:t>
      </w:r>
      <w:r>
        <w:rPr>
          <w:rFonts w:ascii="Arial" w:hAnsi="Arial" w:cs="Arial"/>
          <w:sz w:val="20"/>
          <w:szCs w:val="20"/>
        </w:rPr>
        <w:t>immunization</w:t>
      </w:r>
      <w:r w:rsidRPr="00997579">
        <w:rPr>
          <w:rFonts w:ascii="Arial" w:hAnsi="Arial" w:cs="Arial"/>
          <w:sz w:val="20"/>
          <w:szCs w:val="20"/>
        </w:rPr>
        <w:t xml:space="preserve"> messages</w:t>
      </w:r>
      <w:r w:rsidRPr="00865606">
        <w:rPr>
          <w:rFonts w:ascii="Arial" w:hAnsi="Arial" w:cs="Arial"/>
          <w:sz w:val="20"/>
          <w:szCs w:val="20"/>
        </w:rPr>
        <w:t xml:space="preserve"> </w:t>
      </w:r>
      <w:r w:rsidR="006120BA">
        <w:rPr>
          <w:rFonts w:ascii="Arial" w:hAnsi="Arial" w:cs="Arial"/>
          <w:sz w:val="20"/>
          <w:szCs w:val="20"/>
        </w:rPr>
        <w:t>in</w:t>
      </w:r>
      <w:r w:rsidRPr="00865606">
        <w:rPr>
          <w:rFonts w:ascii="Arial" w:hAnsi="Arial" w:cs="Arial"/>
          <w:sz w:val="20"/>
          <w:szCs w:val="20"/>
        </w:rPr>
        <w:t xml:space="preserve">to the NIST </w:t>
      </w:r>
      <w:r>
        <w:rPr>
          <w:rFonts w:ascii="Arial" w:hAnsi="Arial" w:cs="Arial"/>
          <w:sz w:val="20"/>
          <w:szCs w:val="20"/>
        </w:rPr>
        <w:t>Immunization</w:t>
      </w:r>
      <w:r w:rsidR="006F3E2E">
        <w:rPr>
          <w:rFonts w:ascii="Arial" w:hAnsi="Arial" w:cs="Arial"/>
          <w:sz w:val="20"/>
          <w:szCs w:val="20"/>
        </w:rPr>
        <w:t xml:space="preserve"> Conformance</w:t>
      </w:r>
      <w:r>
        <w:rPr>
          <w:rFonts w:ascii="Arial" w:hAnsi="Arial" w:cs="Arial"/>
          <w:sz w:val="20"/>
          <w:szCs w:val="20"/>
        </w:rPr>
        <w:t xml:space="preserve"> </w:t>
      </w:r>
      <w:r w:rsidRPr="00865606">
        <w:rPr>
          <w:rFonts w:ascii="Arial" w:hAnsi="Arial" w:cs="Arial"/>
          <w:sz w:val="20"/>
          <w:szCs w:val="20"/>
        </w:rPr>
        <w:t xml:space="preserve">Test Tool </w:t>
      </w:r>
    </w:p>
    <w:p w:rsidR="00416A97" w:rsidRDefault="00416A97" w:rsidP="0074783F">
      <w:pPr>
        <w:spacing w:line="300" w:lineRule="atLeast"/>
        <w:rPr>
          <w:rFonts w:cs="Arial"/>
          <w:u w:val="single"/>
        </w:rPr>
      </w:pPr>
    </w:p>
    <w:p w:rsidR="005D4E15" w:rsidRDefault="005D4E15" w:rsidP="0074783F">
      <w:pPr>
        <w:spacing w:line="300" w:lineRule="atLeast"/>
        <w:rPr>
          <w:rFonts w:cs="Arial"/>
          <w:u w:val="single"/>
        </w:rPr>
      </w:pPr>
      <w:r w:rsidRPr="0074783F">
        <w:rPr>
          <w:rFonts w:cs="Arial"/>
          <w:u w:val="single"/>
        </w:rPr>
        <w:t>Required Test Procedure</w:t>
      </w:r>
    </w:p>
    <w:p w:rsidR="008C2A8F" w:rsidRDefault="008C2A8F" w:rsidP="0074783F">
      <w:pPr>
        <w:spacing w:line="300" w:lineRule="atLeast"/>
        <w:rPr>
          <w:rFonts w:cs="Arial"/>
          <w:u w:val="single"/>
        </w:rPr>
      </w:pPr>
    </w:p>
    <w:p w:rsidR="00B54951" w:rsidRDefault="00B54951" w:rsidP="0074783F">
      <w:pPr>
        <w:spacing w:line="300" w:lineRule="atLeast"/>
        <w:rPr>
          <w:rFonts w:cs="Arial"/>
        </w:rPr>
      </w:pPr>
      <w:r>
        <w:rPr>
          <w:rFonts w:cs="Arial"/>
          <w:u w:val="single"/>
        </w:rPr>
        <w:t>F</w:t>
      </w:r>
      <w:r w:rsidR="008C2A8F">
        <w:rPr>
          <w:rFonts w:cs="Arial"/>
          <w:u w:val="single"/>
        </w:rPr>
        <w:t xml:space="preserve">or each of the seven test case categories given </w:t>
      </w:r>
      <w:r w:rsidR="008C2A8F" w:rsidRPr="000F7F5F">
        <w:rPr>
          <w:rFonts w:cs="Arial"/>
        </w:rPr>
        <w:t>in the Test Data section of this test procedure</w:t>
      </w:r>
      <w:r w:rsidR="00BF5469">
        <w:rPr>
          <w:rFonts w:cs="Arial"/>
        </w:rPr>
        <w:t xml:space="preserve"> do the following</w:t>
      </w:r>
      <w:r w:rsidR="008C2A8F">
        <w:rPr>
          <w:rFonts w:cs="Arial"/>
        </w:rPr>
        <w:t>:</w:t>
      </w:r>
    </w:p>
    <w:p w:rsidR="008C2A8F" w:rsidRPr="0074783F" w:rsidRDefault="008C2A8F" w:rsidP="0074783F">
      <w:pPr>
        <w:spacing w:line="300" w:lineRule="atLeast"/>
        <w:rPr>
          <w:rFonts w:cs="Arial"/>
          <w:u w:val="single"/>
        </w:rPr>
      </w:pPr>
    </w:p>
    <w:p w:rsidR="006B3F0E" w:rsidRPr="000F7F5F" w:rsidRDefault="0074783F" w:rsidP="0074783F">
      <w:pPr>
        <w:pStyle w:val="ListParagraph"/>
        <w:spacing w:line="300" w:lineRule="atLeast"/>
        <w:ind w:left="2160" w:hanging="2160"/>
        <w:rPr>
          <w:rFonts w:ascii="Arial" w:hAnsi="Arial" w:cs="Arial"/>
          <w:sz w:val="20"/>
          <w:szCs w:val="20"/>
        </w:rPr>
      </w:pPr>
      <w:proofErr w:type="gramStart"/>
      <w:r w:rsidRPr="000F7F5F">
        <w:rPr>
          <w:rFonts w:ascii="Arial" w:hAnsi="Arial" w:cs="Arial"/>
          <w:sz w:val="20"/>
          <w:szCs w:val="20"/>
        </w:rPr>
        <w:t>TE170.314(</w:t>
      </w:r>
      <w:proofErr w:type="gramEnd"/>
      <w:r w:rsidRPr="000F7F5F">
        <w:rPr>
          <w:rFonts w:ascii="Arial" w:hAnsi="Arial" w:cs="Arial"/>
          <w:sz w:val="20"/>
          <w:szCs w:val="20"/>
        </w:rPr>
        <w:t xml:space="preserve">f)(2) </w:t>
      </w:r>
      <w:r w:rsidR="002C53A0" w:rsidRPr="000F7F5F">
        <w:rPr>
          <w:rFonts w:ascii="Arial" w:hAnsi="Arial" w:cs="Arial"/>
          <w:bCs w:val="0"/>
          <w:sz w:val="20"/>
          <w:szCs w:val="20"/>
        </w:rPr>
        <w:t>– 1.</w:t>
      </w:r>
      <w:r w:rsidR="009B1422" w:rsidRPr="000F7F5F">
        <w:rPr>
          <w:rFonts w:ascii="Arial" w:hAnsi="Arial" w:cs="Arial"/>
          <w:bCs w:val="0"/>
          <w:sz w:val="20"/>
          <w:szCs w:val="20"/>
        </w:rPr>
        <w:t>0</w:t>
      </w:r>
      <w:r w:rsidR="00F61635" w:rsidRPr="000F7F5F">
        <w:rPr>
          <w:rFonts w:ascii="Arial" w:hAnsi="Arial" w:cs="Arial"/>
          <w:bCs w:val="0"/>
          <w:sz w:val="20"/>
          <w:szCs w:val="20"/>
        </w:rPr>
        <w:t>1</w:t>
      </w:r>
      <w:r w:rsidR="00B80F6C" w:rsidRPr="000F7F5F">
        <w:rPr>
          <w:rFonts w:ascii="Arial" w:hAnsi="Arial" w:cs="Arial"/>
          <w:bCs w:val="0"/>
          <w:sz w:val="20"/>
          <w:szCs w:val="20"/>
        </w:rPr>
        <w:t xml:space="preserve">: </w:t>
      </w:r>
      <w:r w:rsidR="00B54951">
        <w:rPr>
          <w:rFonts w:cs="Arial"/>
        </w:rPr>
        <w:t xml:space="preserve">Tester shall select </w:t>
      </w:r>
      <w:r w:rsidR="008C2A8F">
        <w:rPr>
          <w:rFonts w:cs="Arial"/>
        </w:rPr>
        <w:t>a</w:t>
      </w:r>
      <w:r w:rsidR="00BF5469">
        <w:rPr>
          <w:rFonts w:cs="Arial"/>
        </w:rPr>
        <w:t xml:space="preserve"> one</w:t>
      </w:r>
      <w:r w:rsidR="008C2A8F">
        <w:rPr>
          <w:rFonts w:cs="Arial"/>
        </w:rPr>
        <w:t xml:space="preserve"> test case</w:t>
      </w:r>
      <w:r w:rsidR="00BF5469">
        <w:rPr>
          <w:rFonts w:cs="Arial"/>
        </w:rPr>
        <w:t xml:space="preserve"> (data set)</w:t>
      </w:r>
      <w:r w:rsidR="008C2A8F">
        <w:rPr>
          <w:rFonts w:cs="Arial"/>
        </w:rPr>
        <w:t xml:space="preserve"> consisting of </w:t>
      </w:r>
      <w:r w:rsidR="00B54951">
        <w:rPr>
          <w:rFonts w:cs="Arial"/>
        </w:rPr>
        <w:t>immunization information</w:t>
      </w:r>
      <w:r w:rsidR="00416A97" w:rsidRPr="000F7F5F">
        <w:rPr>
          <w:rFonts w:ascii="Arial" w:hAnsi="Arial" w:cs="Arial"/>
          <w:sz w:val="20"/>
          <w:szCs w:val="20"/>
        </w:rPr>
        <w:t xml:space="preserve"> </w:t>
      </w:r>
      <w:r w:rsidR="000F7F5F">
        <w:rPr>
          <w:rFonts w:ascii="Arial" w:hAnsi="Arial" w:cs="Arial"/>
          <w:sz w:val="20"/>
          <w:szCs w:val="20"/>
        </w:rPr>
        <w:t>[Figure 1, Step 1]</w:t>
      </w:r>
    </w:p>
    <w:p w:rsidR="00EC75AF" w:rsidRPr="000F7F5F" w:rsidRDefault="00416A97" w:rsidP="0074783F">
      <w:pPr>
        <w:pStyle w:val="ListParagraph"/>
        <w:spacing w:line="300" w:lineRule="atLeast"/>
        <w:ind w:left="2160" w:hanging="2160"/>
        <w:rPr>
          <w:rFonts w:ascii="Arial" w:hAnsi="Arial" w:cs="Arial"/>
          <w:sz w:val="20"/>
          <w:szCs w:val="20"/>
        </w:rPr>
      </w:pPr>
      <w:r w:rsidRPr="000F7F5F" w:rsidDel="0086764B">
        <w:rPr>
          <w:rFonts w:ascii="Arial" w:hAnsi="Arial" w:cs="Arial"/>
          <w:sz w:val="20"/>
          <w:szCs w:val="20"/>
        </w:rPr>
        <w:t xml:space="preserve"> </w:t>
      </w:r>
      <w:proofErr w:type="gramStart"/>
      <w:r w:rsidR="0074783F" w:rsidRPr="000F7F5F">
        <w:rPr>
          <w:rFonts w:ascii="Arial" w:hAnsi="Arial" w:cs="Arial"/>
          <w:sz w:val="20"/>
          <w:szCs w:val="20"/>
        </w:rPr>
        <w:t>TE170.314(</w:t>
      </w:r>
      <w:proofErr w:type="gramEnd"/>
      <w:r w:rsidR="0074783F" w:rsidRPr="000F7F5F">
        <w:rPr>
          <w:rFonts w:ascii="Arial" w:hAnsi="Arial" w:cs="Arial"/>
          <w:sz w:val="20"/>
          <w:szCs w:val="20"/>
        </w:rPr>
        <w:t xml:space="preserve">f)(2) </w:t>
      </w:r>
      <w:r w:rsidR="002C53A0" w:rsidRPr="000F7F5F">
        <w:rPr>
          <w:rFonts w:ascii="Arial" w:hAnsi="Arial" w:cs="Arial"/>
          <w:bCs w:val="0"/>
          <w:sz w:val="20"/>
          <w:szCs w:val="20"/>
        </w:rPr>
        <w:t>– 1.</w:t>
      </w:r>
      <w:r w:rsidR="001B6E9D" w:rsidRPr="000F7F5F">
        <w:rPr>
          <w:rFonts w:ascii="Arial" w:hAnsi="Arial" w:cs="Arial"/>
          <w:bCs w:val="0"/>
          <w:sz w:val="20"/>
          <w:szCs w:val="20"/>
        </w:rPr>
        <w:t>0</w:t>
      </w:r>
      <w:r w:rsidR="00F61635" w:rsidRPr="000F7F5F">
        <w:rPr>
          <w:rFonts w:ascii="Arial" w:hAnsi="Arial" w:cs="Arial"/>
          <w:bCs w:val="0"/>
          <w:sz w:val="20"/>
          <w:szCs w:val="20"/>
        </w:rPr>
        <w:t>2</w:t>
      </w:r>
      <w:r w:rsidR="00B80F6C" w:rsidRPr="000F7F5F">
        <w:rPr>
          <w:rFonts w:ascii="Arial" w:hAnsi="Arial" w:cs="Arial"/>
          <w:bCs w:val="0"/>
          <w:sz w:val="20"/>
          <w:szCs w:val="20"/>
        </w:rPr>
        <w:t xml:space="preserve">: </w:t>
      </w:r>
      <w:r w:rsidR="00EC75AF" w:rsidRPr="000F7F5F">
        <w:rPr>
          <w:rFonts w:ascii="Arial" w:hAnsi="Arial" w:cs="Arial"/>
          <w:sz w:val="20"/>
          <w:szCs w:val="20"/>
        </w:rPr>
        <w:t>Using the Vendor-identified EHR function(s), the Tester</w:t>
      </w:r>
      <w:r w:rsidR="00DA79F4" w:rsidRPr="000F7F5F">
        <w:rPr>
          <w:rFonts w:ascii="Arial" w:hAnsi="Arial" w:cs="Arial"/>
          <w:sz w:val="20"/>
          <w:szCs w:val="20"/>
        </w:rPr>
        <w:t xml:space="preserve"> shall </w:t>
      </w:r>
      <w:r w:rsidR="00EC75AF" w:rsidRPr="000F7F5F">
        <w:rPr>
          <w:rFonts w:ascii="Arial" w:hAnsi="Arial" w:cs="Arial"/>
          <w:sz w:val="20"/>
          <w:szCs w:val="20"/>
        </w:rPr>
        <w:t xml:space="preserve">input the </w:t>
      </w:r>
      <w:r w:rsidR="006B3F0E" w:rsidRPr="000F7F5F">
        <w:rPr>
          <w:rFonts w:ascii="Arial" w:hAnsi="Arial" w:cs="Arial"/>
          <w:sz w:val="20"/>
          <w:szCs w:val="20"/>
        </w:rPr>
        <w:t>provided</w:t>
      </w:r>
      <w:r w:rsidR="00EC75AF" w:rsidRPr="000F7F5F">
        <w:rPr>
          <w:rFonts w:ascii="Arial" w:hAnsi="Arial" w:cs="Arial"/>
          <w:sz w:val="20"/>
          <w:szCs w:val="20"/>
        </w:rPr>
        <w:t xml:space="preserve"> </w:t>
      </w:r>
      <w:r w:rsidR="00934348" w:rsidRPr="000F7F5F">
        <w:rPr>
          <w:rFonts w:ascii="Arial" w:hAnsi="Arial" w:cs="Arial"/>
          <w:sz w:val="20"/>
          <w:szCs w:val="20"/>
        </w:rPr>
        <w:t>immunization information</w:t>
      </w:r>
      <w:r w:rsidR="00EC75AF" w:rsidRPr="000F7F5F">
        <w:rPr>
          <w:rFonts w:ascii="Arial" w:hAnsi="Arial" w:cs="Arial"/>
          <w:sz w:val="20"/>
          <w:szCs w:val="20"/>
        </w:rPr>
        <w:t xml:space="preserve"> </w:t>
      </w:r>
      <w:r w:rsidR="006B3F0E" w:rsidRPr="000F7F5F">
        <w:rPr>
          <w:rFonts w:ascii="Arial" w:hAnsi="Arial" w:cs="Arial"/>
          <w:sz w:val="20"/>
          <w:szCs w:val="20"/>
        </w:rPr>
        <w:t>test data</w:t>
      </w:r>
      <w:r w:rsidR="00EC75AF" w:rsidRPr="000F7F5F">
        <w:rPr>
          <w:rFonts w:ascii="Arial" w:hAnsi="Arial" w:cs="Arial"/>
          <w:sz w:val="20"/>
          <w:szCs w:val="20"/>
        </w:rPr>
        <w:t xml:space="preserve"> </w:t>
      </w:r>
      <w:r w:rsidR="00781141" w:rsidRPr="000F7F5F">
        <w:rPr>
          <w:rFonts w:ascii="Arial" w:hAnsi="Arial" w:cs="Arial"/>
          <w:sz w:val="20"/>
          <w:szCs w:val="20"/>
        </w:rPr>
        <w:t xml:space="preserve">selected in TE170.314(f)(2) </w:t>
      </w:r>
      <w:r w:rsidR="00781141" w:rsidRPr="000F7F5F">
        <w:rPr>
          <w:rFonts w:ascii="Arial" w:hAnsi="Arial" w:cs="Arial"/>
          <w:bCs w:val="0"/>
          <w:sz w:val="20"/>
          <w:szCs w:val="20"/>
        </w:rPr>
        <w:t>– 1.01</w:t>
      </w:r>
      <w:r w:rsidR="00781141" w:rsidRPr="000F7F5F" w:rsidDel="0086764B">
        <w:rPr>
          <w:rFonts w:ascii="Arial" w:hAnsi="Arial" w:cs="Arial"/>
          <w:sz w:val="20"/>
          <w:szCs w:val="20"/>
        </w:rPr>
        <w:t xml:space="preserve"> </w:t>
      </w:r>
      <w:r w:rsidR="00EC75AF" w:rsidRPr="000F7F5F">
        <w:rPr>
          <w:rFonts w:ascii="Arial" w:hAnsi="Arial" w:cs="Arial"/>
          <w:sz w:val="20"/>
          <w:szCs w:val="20"/>
        </w:rPr>
        <w:t>(input can be performed using a manual or automated process)</w:t>
      </w:r>
      <w:r w:rsidR="000F7F5F">
        <w:rPr>
          <w:rFonts w:ascii="Arial" w:hAnsi="Arial" w:cs="Arial"/>
          <w:sz w:val="20"/>
          <w:szCs w:val="20"/>
        </w:rPr>
        <w:t xml:space="preserve"> [Figure 1, Step 2]</w:t>
      </w:r>
    </w:p>
    <w:p w:rsidR="00781141" w:rsidRPr="000F7F5F" w:rsidRDefault="0074783F" w:rsidP="0063136D">
      <w:pPr>
        <w:pStyle w:val="ListParagraph"/>
        <w:spacing w:line="300" w:lineRule="atLeast"/>
        <w:ind w:left="2160" w:hanging="2160"/>
        <w:rPr>
          <w:rFonts w:ascii="Arial" w:hAnsi="Arial" w:cs="Arial"/>
          <w:sz w:val="20"/>
          <w:szCs w:val="20"/>
        </w:rPr>
      </w:pPr>
      <w:proofErr w:type="gramStart"/>
      <w:r w:rsidRPr="000F7F5F">
        <w:rPr>
          <w:rFonts w:ascii="Arial" w:hAnsi="Arial" w:cs="Arial"/>
          <w:sz w:val="20"/>
          <w:szCs w:val="20"/>
        </w:rPr>
        <w:t>TE170.314(</w:t>
      </w:r>
      <w:proofErr w:type="gramEnd"/>
      <w:r w:rsidRPr="000F7F5F">
        <w:rPr>
          <w:rFonts w:ascii="Arial" w:hAnsi="Arial" w:cs="Arial"/>
          <w:sz w:val="20"/>
          <w:szCs w:val="20"/>
        </w:rPr>
        <w:t xml:space="preserve">f)(2) </w:t>
      </w:r>
      <w:r w:rsidR="002C53A0" w:rsidRPr="000F7F5F">
        <w:rPr>
          <w:rFonts w:ascii="Arial" w:hAnsi="Arial" w:cs="Arial"/>
          <w:bCs w:val="0"/>
          <w:sz w:val="20"/>
          <w:szCs w:val="20"/>
        </w:rPr>
        <w:t>– 1.</w:t>
      </w:r>
      <w:r w:rsidR="001B6E9D" w:rsidRPr="000F7F5F">
        <w:rPr>
          <w:rFonts w:ascii="Arial" w:hAnsi="Arial" w:cs="Arial"/>
          <w:bCs w:val="0"/>
          <w:sz w:val="20"/>
          <w:szCs w:val="20"/>
        </w:rPr>
        <w:t>0</w:t>
      </w:r>
      <w:r w:rsidR="00F61635" w:rsidRPr="000F7F5F">
        <w:rPr>
          <w:rFonts w:ascii="Arial" w:hAnsi="Arial" w:cs="Arial"/>
          <w:bCs w:val="0"/>
          <w:sz w:val="20"/>
          <w:szCs w:val="20"/>
        </w:rPr>
        <w:t>3</w:t>
      </w:r>
      <w:r w:rsidR="00B80F6C" w:rsidRPr="000F7F5F">
        <w:rPr>
          <w:rFonts w:ascii="Arial" w:hAnsi="Arial" w:cs="Arial"/>
          <w:bCs w:val="0"/>
          <w:sz w:val="20"/>
          <w:szCs w:val="20"/>
        </w:rPr>
        <w:t xml:space="preserve">: </w:t>
      </w:r>
      <w:r w:rsidR="00EC75AF" w:rsidRPr="000F7F5F">
        <w:rPr>
          <w:rFonts w:ascii="Arial" w:hAnsi="Arial" w:cs="Arial"/>
          <w:sz w:val="20"/>
          <w:szCs w:val="20"/>
        </w:rPr>
        <w:t>Using the Vendor-identified EHR function(s)</w:t>
      </w:r>
      <w:r w:rsidR="00D26C91" w:rsidRPr="000F7F5F">
        <w:rPr>
          <w:rFonts w:ascii="Arial" w:hAnsi="Arial" w:cs="Arial"/>
          <w:sz w:val="20"/>
          <w:szCs w:val="20"/>
        </w:rPr>
        <w:t xml:space="preserve"> and the</w:t>
      </w:r>
      <w:r w:rsidR="002D0590" w:rsidRPr="000F7F5F">
        <w:rPr>
          <w:rFonts w:ascii="Arial" w:hAnsi="Arial" w:cs="Arial"/>
          <w:sz w:val="20"/>
          <w:szCs w:val="20"/>
        </w:rPr>
        <w:t xml:space="preserve"> selected </w:t>
      </w:r>
      <w:r w:rsidR="00781141" w:rsidRPr="000F7F5F">
        <w:rPr>
          <w:rFonts w:ascii="Arial" w:hAnsi="Arial" w:cs="Arial"/>
          <w:sz w:val="20"/>
          <w:szCs w:val="20"/>
        </w:rPr>
        <w:t xml:space="preserve">immunization information </w:t>
      </w:r>
      <w:r w:rsidR="006B3F0E" w:rsidRPr="000F7F5F">
        <w:rPr>
          <w:rFonts w:ascii="Arial" w:hAnsi="Arial" w:cs="Arial"/>
          <w:sz w:val="20"/>
          <w:szCs w:val="20"/>
        </w:rPr>
        <w:t>test data</w:t>
      </w:r>
      <w:r w:rsidR="00EC75AF" w:rsidRPr="000F7F5F">
        <w:rPr>
          <w:rFonts w:ascii="Arial" w:hAnsi="Arial" w:cs="Arial"/>
          <w:sz w:val="20"/>
          <w:szCs w:val="20"/>
        </w:rPr>
        <w:t xml:space="preserve">, the Tester </w:t>
      </w:r>
      <w:r w:rsidR="00DA79F4" w:rsidRPr="000F7F5F">
        <w:rPr>
          <w:rFonts w:ascii="Arial" w:hAnsi="Arial" w:cs="Arial"/>
          <w:sz w:val="20"/>
          <w:szCs w:val="20"/>
        </w:rPr>
        <w:t xml:space="preserve">shall </w:t>
      </w:r>
    </w:p>
    <w:p w:rsidR="00934348" w:rsidRPr="0063136D" w:rsidRDefault="00781141" w:rsidP="0063136D">
      <w:pPr>
        <w:pStyle w:val="ListParagraph"/>
        <w:numPr>
          <w:ilvl w:val="3"/>
          <w:numId w:val="10"/>
        </w:numPr>
        <w:spacing w:line="300" w:lineRule="atLeast"/>
        <w:rPr>
          <w:rFonts w:ascii="Arial" w:hAnsi="Arial" w:cs="Arial"/>
          <w:sz w:val="20"/>
          <w:szCs w:val="20"/>
        </w:rPr>
      </w:pPr>
      <w:r w:rsidRPr="0063136D">
        <w:rPr>
          <w:rFonts w:ascii="Arial" w:hAnsi="Arial" w:cs="Arial"/>
          <w:sz w:val="20"/>
          <w:szCs w:val="20"/>
        </w:rPr>
        <w:t>C</w:t>
      </w:r>
      <w:r w:rsidR="00DA79F4" w:rsidRPr="0063136D">
        <w:rPr>
          <w:rFonts w:ascii="Arial" w:hAnsi="Arial" w:cs="Arial"/>
          <w:sz w:val="20"/>
          <w:szCs w:val="20"/>
        </w:rPr>
        <w:t>ause</w:t>
      </w:r>
      <w:r w:rsidR="00EC75AF" w:rsidRPr="0063136D">
        <w:rPr>
          <w:rFonts w:ascii="Arial" w:hAnsi="Arial" w:cs="Arial"/>
          <w:sz w:val="20"/>
          <w:szCs w:val="20"/>
        </w:rPr>
        <w:t xml:space="preserve"> the EHR to generate </w:t>
      </w:r>
      <w:r w:rsidRPr="0063136D">
        <w:rPr>
          <w:rFonts w:ascii="Arial" w:hAnsi="Arial" w:cs="Arial"/>
          <w:sz w:val="20"/>
          <w:szCs w:val="20"/>
        </w:rPr>
        <w:t>the indicated</w:t>
      </w:r>
      <w:r w:rsidR="00EC75AF" w:rsidRPr="0063136D">
        <w:rPr>
          <w:rFonts w:ascii="Arial" w:hAnsi="Arial" w:cs="Arial"/>
          <w:sz w:val="20"/>
          <w:szCs w:val="20"/>
        </w:rPr>
        <w:t xml:space="preserve"> </w:t>
      </w:r>
      <w:r w:rsidR="00934348" w:rsidRPr="0063136D">
        <w:rPr>
          <w:rFonts w:ascii="Arial" w:hAnsi="Arial" w:cs="Arial"/>
          <w:sz w:val="20"/>
          <w:szCs w:val="20"/>
        </w:rPr>
        <w:t>immunization information</w:t>
      </w:r>
      <w:r w:rsidR="00EC75AF" w:rsidRPr="0063136D">
        <w:rPr>
          <w:rFonts w:ascii="Arial" w:hAnsi="Arial" w:cs="Arial"/>
          <w:sz w:val="20"/>
          <w:szCs w:val="20"/>
        </w:rPr>
        <w:t xml:space="preserve"> message for the test patient based on </w:t>
      </w:r>
      <w:r w:rsidR="006B3F0E" w:rsidRPr="00B85E6B">
        <w:rPr>
          <w:rFonts w:ascii="Arial" w:hAnsi="Arial" w:cs="Arial"/>
          <w:color w:val="000000"/>
          <w:sz w:val="20"/>
          <w:szCs w:val="20"/>
        </w:rPr>
        <w:t>the HL7 2.5.1 Implementation Guide for Immunization Messaging, Release 1.4</w:t>
      </w:r>
      <w:r w:rsidR="006B3F0E">
        <w:rPr>
          <w:rFonts w:ascii="Arial" w:hAnsi="Arial" w:cs="Arial"/>
          <w:color w:val="000000"/>
          <w:sz w:val="20"/>
          <w:szCs w:val="20"/>
        </w:rPr>
        <w:t xml:space="preserve"> </w:t>
      </w:r>
      <w:r w:rsidR="004345C4">
        <w:rPr>
          <w:rFonts w:ascii="Arial" w:hAnsi="Arial" w:cs="Arial"/>
          <w:sz w:val="20"/>
          <w:szCs w:val="20"/>
        </w:rPr>
        <w:t xml:space="preserve"> </w:t>
      </w:r>
      <w:r w:rsidR="00934348" w:rsidRPr="0063136D">
        <w:rPr>
          <w:rFonts w:ascii="Arial" w:hAnsi="Arial" w:cs="Arial"/>
          <w:sz w:val="20"/>
          <w:szCs w:val="20"/>
        </w:rPr>
        <w:t>interoperability standard</w:t>
      </w:r>
      <w:r w:rsidRPr="0063136D">
        <w:rPr>
          <w:rFonts w:ascii="Arial" w:hAnsi="Arial" w:cs="Arial"/>
          <w:sz w:val="20"/>
          <w:szCs w:val="20"/>
        </w:rPr>
        <w:t>,</w:t>
      </w:r>
      <w:r w:rsidR="00934348" w:rsidRPr="0063136D">
        <w:rPr>
          <w:rFonts w:ascii="Arial" w:hAnsi="Arial" w:cs="Arial"/>
          <w:sz w:val="20"/>
          <w:szCs w:val="20"/>
        </w:rPr>
        <w:t xml:space="preserve"> and the </w:t>
      </w:r>
      <w:r w:rsidR="006B3F0E" w:rsidRPr="00732321">
        <w:rPr>
          <w:rFonts w:ascii="Arial" w:hAnsi="Arial" w:cs="Arial"/>
          <w:color w:val="000000"/>
          <w:sz w:val="20"/>
          <w:szCs w:val="20"/>
        </w:rPr>
        <w:t>HL7 Standard Code Set CVX -- Vaccines Administered</w:t>
      </w:r>
      <w:r w:rsidR="006B3F0E" w:rsidRPr="0063136D" w:rsidDel="006B3F0E">
        <w:rPr>
          <w:rFonts w:ascii="Arial" w:hAnsi="Arial" w:cs="Arial"/>
          <w:sz w:val="20"/>
          <w:szCs w:val="20"/>
        </w:rPr>
        <w:t xml:space="preserve"> </w:t>
      </w:r>
      <w:r w:rsidR="006B3F0E">
        <w:rPr>
          <w:rFonts w:ascii="Arial" w:hAnsi="Arial" w:cs="Arial"/>
          <w:sz w:val="20"/>
          <w:szCs w:val="20"/>
        </w:rPr>
        <w:t xml:space="preserve"> </w:t>
      </w:r>
      <w:r w:rsidR="00934348" w:rsidRPr="0063136D">
        <w:rPr>
          <w:rFonts w:ascii="Arial" w:hAnsi="Arial" w:cs="Arial"/>
          <w:sz w:val="20"/>
          <w:szCs w:val="20"/>
        </w:rPr>
        <w:t>vocabulary standard</w:t>
      </w:r>
      <w:r w:rsidR="0063136D" w:rsidRPr="0063136D">
        <w:rPr>
          <w:rFonts w:ascii="Arial" w:hAnsi="Arial" w:cs="Arial"/>
          <w:sz w:val="20"/>
          <w:szCs w:val="20"/>
        </w:rPr>
        <w:t xml:space="preserve"> </w:t>
      </w:r>
      <w:r w:rsidR="000F7F5F">
        <w:rPr>
          <w:rFonts w:ascii="Arial" w:hAnsi="Arial" w:cs="Arial"/>
          <w:sz w:val="20"/>
          <w:szCs w:val="20"/>
        </w:rPr>
        <w:t>[Figure 1, Step 3]</w:t>
      </w:r>
    </w:p>
    <w:p w:rsidR="00781141" w:rsidRPr="0063136D" w:rsidRDefault="004345C4" w:rsidP="0063136D">
      <w:pPr>
        <w:numPr>
          <w:ilvl w:val="3"/>
          <w:numId w:val="10"/>
        </w:numPr>
        <w:spacing w:line="300" w:lineRule="atLeast"/>
        <w:rPr>
          <w:rFonts w:cs="Arial"/>
          <w:bCs/>
        </w:rPr>
      </w:pPr>
      <w:r>
        <w:rPr>
          <w:rFonts w:cs="Arial"/>
        </w:rPr>
        <w:t>Import</w:t>
      </w:r>
      <w:r w:rsidR="00781141" w:rsidRPr="0063136D">
        <w:rPr>
          <w:rFonts w:cs="Arial"/>
        </w:rPr>
        <w:t xml:space="preserve"> the immunization information message to the NIST Immunization Conformance Test Tool identified in the Conformance Test Tools section of this test procedure </w:t>
      </w:r>
      <w:r w:rsidR="000F7F5F">
        <w:rPr>
          <w:rFonts w:cs="Arial"/>
        </w:rPr>
        <w:t>[Figure 1, Steps 4 &amp; 5]</w:t>
      </w:r>
    </w:p>
    <w:p w:rsidR="00934348" w:rsidRPr="00934348" w:rsidRDefault="0074783F" w:rsidP="0063136D">
      <w:pPr>
        <w:pStyle w:val="ListParagraph"/>
        <w:spacing w:line="300" w:lineRule="atLeast"/>
        <w:ind w:left="2160" w:hanging="2160"/>
        <w:rPr>
          <w:rFonts w:ascii="Arial" w:hAnsi="Arial" w:cs="Arial"/>
          <w:sz w:val="20"/>
          <w:szCs w:val="20"/>
        </w:rPr>
      </w:pPr>
      <w:proofErr w:type="gramStart"/>
      <w:r w:rsidRPr="0063136D">
        <w:rPr>
          <w:rFonts w:ascii="Arial" w:hAnsi="Arial" w:cs="Arial"/>
          <w:sz w:val="20"/>
          <w:szCs w:val="20"/>
        </w:rPr>
        <w:t>TE170.314(</w:t>
      </w:r>
      <w:proofErr w:type="gramEnd"/>
      <w:r w:rsidRPr="0063136D">
        <w:rPr>
          <w:rFonts w:ascii="Arial" w:hAnsi="Arial" w:cs="Arial"/>
          <w:sz w:val="20"/>
          <w:szCs w:val="20"/>
        </w:rPr>
        <w:t xml:space="preserve">f)(2) </w:t>
      </w:r>
      <w:r w:rsidR="008D41A0" w:rsidRPr="0063136D">
        <w:rPr>
          <w:rFonts w:ascii="Arial" w:hAnsi="Arial" w:cs="Arial"/>
          <w:bCs w:val="0"/>
          <w:sz w:val="20"/>
          <w:szCs w:val="20"/>
        </w:rPr>
        <w:t>– 1.04:</w:t>
      </w:r>
      <w:r w:rsidR="00B80F6C" w:rsidRPr="0063136D">
        <w:rPr>
          <w:rFonts w:ascii="Arial" w:hAnsi="Arial" w:cs="Arial"/>
          <w:bCs w:val="0"/>
          <w:sz w:val="20"/>
          <w:szCs w:val="20"/>
        </w:rPr>
        <w:t xml:space="preserve"> </w:t>
      </w:r>
      <w:r w:rsidR="00EC75AF" w:rsidRPr="00BF5469">
        <w:rPr>
          <w:rFonts w:ascii="Arial" w:hAnsi="Arial" w:cs="Arial"/>
          <w:bCs w:val="0"/>
          <w:sz w:val="20"/>
          <w:szCs w:val="20"/>
        </w:rPr>
        <w:t xml:space="preserve">Using the Inspection Test Guide, the </w:t>
      </w:r>
      <w:r w:rsidR="008D41A0" w:rsidRPr="00BF5469">
        <w:rPr>
          <w:rFonts w:ascii="Arial" w:hAnsi="Arial" w:cs="Arial"/>
          <w:sz w:val="20"/>
          <w:szCs w:val="20"/>
        </w:rPr>
        <w:t xml:space="preserve">Tester shall verify that the </w:t>
      </w:r>
      <w:r w:rsidR="00934348" w:rsidRPr="00BF5469">
        <w:rPr>
          <w:rFonts w:ascii="Arial" w:hAnsi="Arial" w:cs="Arial"/>
          <w:sz w:val="20"/>
          <w:szCs w:val="20"/>
        </w:rPr>
        <w:t>immunization</w:t>
      </w:r>
      <w:r w:rsidR="00C9737A" w:rsidRPr="00C9737A">
        <w:rPr>
          <w:rFonts w:ascii="Arial" w:hAnsi="Arial" w:cs="Arial"/>
          <w:sz w:val="20"/>
          <w:szCs w:val="20"/>
        </w:rPr>
        <w:t xml:space="preserve"> message is conformant to the named standards and is generated with the appropriate immunization information</w:t>
      </w:r>
    </w:p>
    <w:p w:rsidR="00416A97" w:rsidRDefault="00416A97" w:rsidP="009F387D">
      <w:pPr>
        <w:rPr>
          <w:u w:val="single"/>
        </w:rPr>
      </w:pPr>
    </w:p>
    <w:p w:rsidR="009F387D" w:rsidRPr="003B1179" w:rsidRDefault="009F387D" w:rsidP="009F387D">
      <w:pPr>
        <w:rPr>
          <w:u w:val="single"/>
        </w:rPr>
      </w:pPr>
      <w:r w:rsidRPr="003B1179">
        <w:rPr>
          <w:u w:val="single"/>
        </w:rPr>
        <w:t>Inspection Test Guide</w:t>
      </w:r>
    </w:p>
    <w:p w:rsidR="005F33DE" w:rsidRPr="003B1179" w:rsidRDefault="0074783F" w:rsidP="003F2779">
      <w:pPr>
        <w:pStyle w:val="ListParagraph"/>
        <w:spacing w:line="300" w:lineRule="atLeast"/>
        <w:ind w:left="2070" w:hanging="2070"/>
        <w:rPr>
          <w:rFonts w:ascii="Arial" w:hAnsi="Arial" w:cs="Arial"/>
          <w:sz w:val="20"/>
          <w:szCs w:val="20"/>
        </w:rPr>
      </w:pPr>
      <w:r w:rsidRPr="00880BA8">
        <w:rPr>
          <w:rFonts w:ascii="Arial" w:hAnsi="Arial" w:cs="Arial"/>
          <w:sz w:val="20"/>
          <w:szCs w:val="20"/>
        </w:rPr>
        <w:t xml:space="preserve">IN170.314(f)(2) </w:t>
      </w:r>
      <w:r w:rsidR="002C53A0" w:rsidRPr="00880BA8">
        <w:rPr>
          <w:rFonts w:ascii="Arial" w:hAnsi="Arial" w:cs="Arial"/>
          <w:sz w:val="20"/>
          <w:szCs w:val="20"/>
        </w:rPr>
        <w:t>– 1.</w:t>
      </w:r>
      <w:r w:rsidR="00EC75AF" w:rsidRPr="00880BA8">
        <w:rPr>
          <w:rFonts w:ascii="Arial" w:hAnsi="Arial" w:cs="Arial"/>
          <w:sz w:val="20"/>
          <w:szCs w:val="20"/>
        </w:rPr>
        <w:t xml:space="preserve">01: </w:t>
      </w:r>
      <w:r w:rsidR="005F33DE" w:rsidRPr="00880BA8">
        <w:rPr>
          <w:rFonts w:ascii="Arial" w:hAnsi="Arial" w:cs="Arial"/>
          <w:sz w:val="20"/>
          <w:szCs w:val="20"/>
        </w:rPr>
        <w:t xml:space="preserve">Using the </w:t>
      </w:r>
      <w:r w:rsidR="00880BA8">
        <w:rPr>
          <w:rFonts w:ascii="Arial" w:hAnsi="Arial" w:cs="Arial"/>
          <w:sz w:val="20"/>
          <w:szCs w:val="20"/>
        </w:rPr>
        <w:t xml:space="preserve">Validation Report produced by the </w:t>
      </w:r>
      <w:r w:rsidR="005F33DE" w:rsidRPr="00880BA8">
        <w:rPr>
          <w:rFonts w:ascii="Arial" w:hAnsi="Arial" w:cs="Arial"/>
          <w:sz w:val="20"/>
          <w:szCs w:val="20"/>
        </w:rPr>
        <w:t xml:space="preserve">NIST </w:t>
      </w:r>
      <w:r w:rsidR="003F2779" w:rsidRPr="00880BA8">
        <w:rPr>
          <w:rFonts w:ascii="Arial" w:hAnsi="Arial" w:cs="Arial"/>
          <w:sz w:val="20"/>
          <w:szCs w:val="20"/>
        </w:rPr>
        <w:t>Immunization</w:t>
      </w:r>
      <w:r w:rsidR="008C6683" w:rsidRPr="00880BA8">
        <w:rPr>
          <w:rFonts w:ascii="Arial" w:hAnsi="Arial" w:cs="Arial"/>
          <w:sz w:val="20"/>
          <w:szCs w:val="20"/>
        </w:rPr>
        <w:t>s</w:t>
      </w:r>
      <w:r w:rsidR="003F2779" w:rsidRPr="00880BA8">
        <w:rPr>
          <w:rFonts w:ascii="Arial" w:hAnsi="Arial" w:cs="Arial"/>
          <w:sz w:val="20"/>
          <w:szCs w:val="20"/>
        </w:rPr>
        <w:t xml:space="preserve"> Conformance</w:t>
      </w:r>
      <w:r w:rsidR="005F33DE" w:rsidRPr="00880BA8">
        <w:rPr>
          <w:rFonts w:ascii="Arial" w:hAnsi="Arial" w:cs="Arial"/>
          <w:sz w:val="20"/>
          <w:szCs w:val="20"/>
        </w:rPr>
        <w:t xml:space="preserve"> Test Tool</w:t>
      </w:r>
      <w:r w:rsidR="00551C6D" w:rsidRPr="00880BA8">
        <w:rPr>
          <w:rFonts w:ascii="Arial" w:hAnsi="Arial" w:cs="Arial"/>
          <w:sz w:val="20"/>
          <w:szCs w:val="20"/>
        </w:rPr>
        <w:t xml:space="preserve"> identified in the</w:t>
      </w:r>
      <w:r w:rsidR="00551C6D" w:rsidRPr="00B928A7">
        <w:rPr>
          <w:rFonts w:ascii="Arial" w:hAnsi="Arial" w:cs="Arial"/>
          <w:sz w:val="20"/>
          <w:szCs w:val="20"/>
        </w:rPr>
        <w:t xml:space="preserve"> Conformance </w:t>
      </w:r>
      <w:r w:rsidR="00551C6D">
        <w:rPr>
          <w:rFonts w:ascii="Arial" w:hAnsi="Arial" w:cs="Arial"/>
          <w:sz w:val="20"/>
          <w:szCs w:val="20"/>
        </w:rPr>
        <w:t xml:space="preserve">Test </w:t>
      </w:r>
      <w:r w:rsidR="00551C6D" w:rsidRPr="00B928A7">
        <w:rPr>
          <w:rFonts w:ascii="Arial" w:hAnsi="Arial" w:cs="Arial"/>
          <w:sz w:val="20"/>
          <w:szCs w:val="20"/>
        </w:rPr>
        <w:t>Tools section of this test procedure</w:t>
      </w:r>
      <w:r w:rsidR="005F33DE" w:rsidRPr="003B1179">
        <w:rPr>
          <w:rFonts w:ascii="Arial" w:hAnsi="Arial" w:cs="Arial"/>
          <w:b/>
          <w:sz w:val="20"/>
          <w:szCs w:val="20"/>
        </w:rPr>
        <w:t xml:space="preserve">, </w:t>
      </w:r>
      <w:r w:rsidR="005F33DE" w:rsidRPr="003B1179">
        <w:rPr>
          <w:rFonts w:ascii="Arial" w:hAnsi="Arial" w:cs="Arial"/>
          <w:sz w:val="20"/>
          <w:szCs w:val="20"/>
        </w:rPr>
        <w:t>the</w:t>
      </w:r>
      <w:r w:rsidR="005F33DE" w:rsidRPr="003B1179">
        <w:rPr>
          <w:rFonts w:ascii="Arial" w:hAnsi="Arial" w:cs="Arial"/>
          <w:b/>
          <w:sz w:val="20"/>
          <w:szCs w:val="20"/>
        </w:rPr>
        <w:t xml:space="preserve"> </w:t>
      </w:r>
      <w:r w:rsidR="009F387D" w:rsidRPr="003B1179">
        <w:rPr>
          <w:rFonts w:ascii="Arial" w:hAnsi="Arial" w:cs="Arial"/>
          <w:sz w:val="20"/>
          <w:szCs w:val="20"/>
        </w:rPr>
        <w:t>Tester shall verify that</w:t>
      </w:r>
      <w:r w:rsidR="00880BA8">
        <w:rPr>
          <w:rFonts w:ascii="Arial" w:hAnsi="Arial" w:cs="Arial"/>
          <w:sz w:val="20"/>
          <w:szCs w:val="20"/>
        </w:rPr>
        <w:t xml:space="preserve"> </w:t>
      </w:r>
      <w:r w:rsidR="009F387D" w:rsidRPr="003B1179">
        <w:rPr>
          <w:rFonts w:ascii="Arial" w:hAnsi="Arial" w:cs="Arial"/>
          <w:sz w:val="20"/>
          <w:szCs w:val="20"/>
        </w:rPr>
        <w:t xml:space="preserve">the </w:t>
      </w:r>
      <w:r w:rsidR="00880BA8">
        <w:rPr>
          <w:rFonts w:ascii="Arial" w:hAnsi="Arial" w:cs="Arial"/>
          <w:sz w:val="20"/>
          <w:szCs w:val="20"/>
        </w:rPr>
        <w:t xml:space="preserve">Immunization Implementation Guide conformance requirements </w:t>
      </w:r>
      <w:r w:rsidR="004345C4">
        <w:rPr>
          <w:rFonts w:ascii="Arial" w:hAnsi="Arial" w:cs="Arial"/>
          <w:sz w:val="20"/>
          <w:szCs w:val="20"/>
        </w:rPr>
        <w:t xml:space="preserve">tested </w:t>
      </w:r>
      <w:r w:rsidR="00880BA8">
        <w:rPr>
          <w:rFonts w:ascii="Arial" w:hAnsi="Arial" w:cs="Arial"/>
          <w:sz w:val="20"/>
          <w:szCs w:val="20"/>
        </w:rPr>
        <w:t>are met</w:t>
      </w:r>
      <w:r w:rsidR="000F7F5F">
        <w:rPr>
          <w:rFonts w:ascii="Arial" w:hAnsi="Arial" w:cs="Arial"/>
          <w:sz w:val="20"/>
          <w:szCs w:val="20"/>
        </w:rPr>
        <w:t xml:space="preserve"> [Figure 1, Step 6, 7 &amp; 8]</w:t>
      </w:r>
    </w:p>
    <w:p w:rsidR="00670E44" w:rsidRDefault="00880BA8" w:rsidP="00880BA8">
      <w:pPr>
        <w:pStyle w:val="ListParagraph"/>
        <w:spacing w:line="300" w:lineRule="atLeast"/>
        <w:ind w:left="2160" w:hanging="2160"/>
        <w:rPr>
          <w:rFonts w:ascii="Arial" w:hAnsi="Arial" w:cs="Arial"/>
          <w:sz w:val="20"/>
          <w:szCs w:val="20"/>
        </w:rPr>
      </w:pPr>
      <w:r w:rsidRPr="00077292">
        <w:rPr>
          <w:rFonts w:ascii="Arial" w:hAnsi="Arial" w:cs="Arial"/>
          <w:sz w:val="20"/>
          <w:szCs w:val="20"/>
        </w:rPr>
        <w:t>IN170.314(f)(</w:t>
      </w:r>
      <w:r>
        <w:rPr>
          <w:rFonts w:ascii="Arial" w:hAnsi="Arial" w:cs="Arial"/>
          <w:sz w:val="20"/>
          <w:szCs w:val="20"/>
        </w:rPr>
        <w:t>2</w:t>
      </w:r>
      <w:r w:rsidRPr="00077292">
        <w:rPr>
          <w:rFonts w:ascii="Arial" w:hAnsi="Arial" w:cs="Arial"/>
          <w:sz w:val="20"/>
          <w:szCs w:val="20"/>
        </w:rPr>
        <w:t xml:space="preserve">) – 1.02: </w:t>
      </w:r>
      <w:r w:rsidR="00595C8D">
        <w:rPr>
          <w:rFonts w:ascii="Arial" w:hAnsi="Arial" w:cs="Arial"/>
          <w:sz w:val="20"/>
          <w:szCs w:val="20"/>
        </w:rPr>
        <w:t>The Tester shall i</w:t>
      </w:r>
      <w:r w:rsidRPr="00077292">
        <w:rPr>
          <w:rFonts w:ascii="Arial" w:hAnsi="Arial" w:cs="Arial"/>
          <w:sz w:val="20"/>
          <w:szCs w:val="20"/>
        </w:rPr>
        <w:t>nspect</w:t>
      </w:r>
      <w:r w:rsidR="00595C8D">
        <w:rPr>
          <w:rFonts w:ascii="Arial" w:hAnsi="Arial" w:cs="Arial"/>
          <w:sz w:val="20"/>
          <w:szCs w:val="20"/>
        </w:rPr>
        <w:t xml:space="preserve"> the EHR to verify the</w:t>
      </w:r>
      <w:r w:rsidRPr="00077292">
        <w:rPr>
          <w:rFonts w:ascii="Arial" w:hAnsi="Arial" w:cs="Arial"/>
          <w:sz w:val="20"/>
          <w:szCs w:val="20"/>
        </w:rPr>
        <w:t xml:space="preserve"> capability of the Vendor to </w:t>
      </w:r>
      <w:r w:rsidR="006056A3">
        <w:rPr>
          <w:rFonts w:ascii="Arial" w:hAnsi="Arial" w:cs="Arial"/>
          <w:sz w:val="20"/>
          <w:szCs w:val="20"/>
        </w:rPr>
        <w:t xml:space="preserve">support the named </w:t>
      </w:r>
      <w:r w:rsidR="00595C8D" w:rsidRPr="00732321">
        <w:rPr>
          <w:rFonts w:ascii="Arial" w:hAnsi="Arial" w:cs="Arial"/>
          <w:color w:val="000000"/>
          <w:sz w:val="20"/>
          <w:szCs w:val="20"/>
        </w:rPr>
        <w:t>HL7 Standard Code Set CVX -- Vaccines Administered</w:t>
      </w:r>
      <w:r w:rsidR="00595C8D">
        <w:rPr>
          <w:rFonts w:ascii="Arial" w:hAnsi="Arial" w:cs="Arial"/>
          <w:color w:val="000000"/>
          <w:sz w:val="20"/>
          <w:szCs w:val="20"/>
        </w:rPr>
        <w:t xml:space="preserve"> </w:t>
      </w:r>
      <w:r w:rsidR="006056A3" w:rsidRPr="0063136D">
        <w:rPr>
          <w:rFonts w:ascii="Arial" w:hAnsi="Arial" w:cs="Arial"/>
          <w:sz w:val="20"/>
          <w:szCs w:val="20"/>
        </w:rPr>
        <w:t xml:space="preserve"> vocabulary standard </w:t>
      </w:r>
      <w:r w:rsidR="006056A3">
        <w:rPr>
          <w:rFonts w:ascii="Arial" w:hAnsi="Arial" w:cs="Arial"/>
          <w:sz w:val="20"/>
          <w:szCs w:val="20"/>
        </w:rPr>
        <w:t>and the value set</w:t>
      </w:r>
      <w:r w:rsidR="000B08EC">
        <w:rPr>
          <w:rFonts w:ascii="Arial" w:hAnsi="Arial" w:cs="Arial"/>
          <w:sz w:val="20"/>
          <w:szCs w:val="20"/>
        </w:rPr>
        <w:t>s</w:t>
      </w:r>
      <w:r w:rsidR="006056A3">
        <w:rPr>
          <w:rFonts w:ascii="Arial" w:hAnsi="Arial" w:cs="Arial"/>
          <w:sz w:val="20"/>
          <w:szCs w:val="20"/>
        </w:rPr>
        <w:t xml:space="preserve"> specified in the </w:t>
      </w:r>
      <w:r w:rsidR="00595C8D" w:rsidRPr="00B85E6B">
        <w:rPr>
          <w:rFonts w:ascii="Arial" w:hAnsi="Arial" w:cs="Arial"/>
          <w:color w:val="000000"/>
          <w:sz w:val="20"/>
          <w:szCs w:val="20"/>
        </w:rPr>
        <w:t>HL7 2.5.1 Implementation Guide for Immunization Messaging, Release 1.4</w:t>
      </w:r>
      <w:r w:rsidR="00595C8D">
        <w:rPr>
          <w:rFonts w:ascii="Arial" w:hAnsi="Arial" w:cs="Arial"/>
          <w:color w:val="000000"/>
          <w:sz w:val="20"/>
          <w:szCs w:val="20"/>
        </w:rPr>
        <w:t xml:space="preserve"> </w:t>
      </w:r>
      <w:r w:rsidR="006056A3" w:rsidRPr="0063136D">
        <w:rPr>
          <w:rFonts w:ascii="Arial" w:hAnsi="Arial" w:cs="Arial"/>
          <w:sz w:val="20"/>
          <w:szCs w:val="20"/>
        </w:rPr>
        <w:t>interoperability standard</w:t>
      </w:r>
    </w:p>
    <w:p w:rsidR="00080DC1" w:rsidRDefault="00670E44" w:rsidP="00595C8D">
      <w:pPr>
        <w:pStyle w:val="ListParagraph"/>
        <w:numPr>
          <w:ilvl w:val="0"/>
          <w:numId w:val="19"/>
        </w:numPr>
        <w:spacing w:line="300" w:lineRule="atLeast"/>
        <w:rPr>
          <w:rFonts w:ascii="Arial" w:hAnsi="Arial" w:cs="Arial"/>
          <w:sz w:val="20"/>
          <w:szCs w:val="20"/>
        </w:rPr>
      </w:pPr>
      <w:r w:rsidRPr="004A1BF8">
        <w:rPr>
          <w:rFonts w:ascii="Arial" w:hAnsi="Arial" w:cs="Arial"/>
          <w:sz w:val="20"/>
          <w:szCs w:val="20"/>
        </w:rPr>
        <w:lastRenderedPageBreak/>
        <w:t xml:space="preserve">Using the Vendor-identified EHR function(s) </w:t>
      </w:r>
      <w:r w:rsidR="004A1BF8">
        <w:rPr>
          <w:rFonts w:ascii="Arial" w:hAnsi="Arial" w:cs="Arial"/>
          <w:sz w:val="20"/>
          <w:szCs w:val="20"/>
        </w:rPr>
        <w:t>and the NIST Immunization Conformance Test Tool</w:t>
      </w:r>
      <w:r w:rsidR="00595C8D">
        <w:rPr>
          <w:rFonts w:ascii="Arial" w:hAnsi="Arial" w:cs="Arial"/>
          <w:sz w:val="20"/>
          <w:szCs w:val="20"/>
        </w:rPr>
        <w:t>,</w:t>
      </w:r>
      <w:r w:rsidR="004A1BF8">
        <w:rPr>
          <w:rFonts w:ascii="Arial" w:hAnsi="Arial" w:cs="Arial"/>
          <w:sz w:val="20"/>
          <w:szCs w:val="20"/>
        </w:rPr>
        <w:t xml:space="preserve"> </w:t>
      </w:r>
      <w:r w:rsidRPr="004A1BF8">
        <w:rPr>
          <w:rFonts w:ascii="Arial" w:hAnsi="Arial" w:cs="Arial"/>
          <w:sz w:val="20"/>
          <w:szCs w:val="20"/>
        </w:rPr>
        <w:t xml:space="preserve">the </w:t>
      </w:r>
      <w:r w:rsidR="00595C8D">
        <w:rPr>
          <w:rFonts w:ascii="Arial" w:hAnsi="Arial" w:cs="Arial"/>
          <w:sz w:val="20"/>
          <w:szCs w:val="20"/>
        </w:rPr>
        <w:t>V</w:t>
      </w:r>
      <w:r w:rsidRPr="004A1BF8">
        <w:rPr>
          <w:rFonts w:ascii="Arial" w:hAnsi="Arial" w:cs="Arial"/>
          <w:sz w:val="20"/>
          <w:szCs w:val="20"/>
        </w:rPr>
        <w:t>endor shall demonstrate</w:t>
      </w:r>
      <w:r w:rsidR="00595C8D">
        <w:rPr>
          <w:rFonts w:ascii="Arial" w:hAnsi="Arial" w:cs="Arial"/>
          <w:sz w:val="20"/>
          <w:szCs w:val="20"/>
        </w:rPr>
        <w:t xml:space="preserve"> to the Tester</w:t>
      </w:r>
      <w:r w:rsidRPr="004A1BF8">
        <w:rPr>
          <w:rFonts w:ascii="Arial" w:hAnsi="Arial" w:cs="Arial"/>
          <w:sz w:val="20"/>
          <w:szCs w:val="20"/>
        </w:rPr>
        <w:t xml:space="preserve"> </w:t>
      </w:r>
      <w:r w:rsidR="00595C8D">
        <w:rPr>
          <w:rFonts w:ascii="Arial" w:hAnsi="Arial" w:cs="Arial"/>
          <w:sz w:val="20"/>
          <w:szCs w:val="20"/>
        </w:rPr>
        <w:t xml:space="preserve">that their EHR </w:t>
      </w:r>
      <w:r w:rsidRPr="004A1BF8">
        <w:rPr>
          <w:rFonts w:ascii="Arial" w:hAnsi="Arial" w:cs="Arial"/>
          <w:sz w:val="20"/>
          <w:szCs w:val="20"/>
        </w:rPr>
        <w:t>support</w:t>
      </w:r>
      <w:r w:rsidR="00595C8D">
        <w:rPr>
          <w:rFonts w:ascii="Arial" w:hAnsi="Arial" w:cs="Arial"/>
          <w:sz w:val="20"/>
          <w:szCs w:val="20"/>
        </w:rPr>
        <w:t>s</w:t>
      </w:r>
      <w:r w:rsidRPr="004A1BF8">
        <w:rPr>
          <w:rFonts w:ascii="Arial" w:hAnsi="Arial" w:cs="Arial"/>
          <w:sz w:val="20"/>
          <w:szCs w:val="20"/>
        </w:rPr>
        <w:t xml:space="preserve">  the </w:t>
      </w:r>
      <w:r w:rsidR="00595C8D" w:rsidRPr="00732321">
        <w:rPr>
          <w:rFonts w:ascii="Arial" w:hAnsi="Arial" w:cs="Arial"/>
          <w:color w:val="000000"/>
          <w:sz w:val="20"/>
          <w:szCs w:val="20"/>
        </w:rPr>
        <w:t>HL7 Standard Code Set CVX -- Vaccines Administered</w:t>
      </w:r>
      <w:r w:rsidR="00595C8D">
        <w:rPr>
          <w:rFonts w:ascii="Arial" w:hAnsi="Arial" w:cs="Arial"/>
          <w:color w:val="000000"/>
          <w:sz w:val="20"/>
          <w:szCs w:val="20"/>
        </w:rPr>
        <w:t xml:space="preserve"> </w:t>
      </w:r>
      <w:r w:rsidRPr="004A1BF8">
        <w:rPr>
          <w:rFonts w:ascii="Arial" w:hAnsi="Arial" w:cs="Arial"/>
          <w:sz w:val="20"/>
          <w:szCs w:val="20"/>
        </w:rPr>
        <w:t>vocabulary standard</w:t>
      </w:r>
      <w:r w:rsidR="001666D3" w:rsidRPr="004A1BF8">
        <w:rPr>
          <w:rFonts w:ascii="Arial" w:hAnsi="Arial" w:cs="Arial"/>
          <w:sz w:val="20"/>
          <w:szCs w:val="20"/>
        </w:rPr>
        <w:t xml:space="preserve"> </w:t>
      </w:r>
    </w:p>
    <w:p w:rsidR="001666D3" w:rsidRDefault="00670E44" w:rsidP="001666D3">
      <w:pPr>
        <w:pStyle w:val="ListParagraph"/>
        <w:numPr>
          <w:ilvl w:val="0"/>
          <w:numId w:val="19"/>
        </w:numPr>
        <w:spacing w:line="300" w:lineRule="atLeast"/>
        <w:rPr>
          <w:rFonts w:ascii="Arial" w:hAnsi="Arial" w:cs="Arial"/>
          <w:sz w:val="20"/>
          <w:szCs w:val="20"/>
        </w:rPr>
      </w:pPr>
      <w:r w:rsidRPr="004A1BF8">
        <w:rPr>
          <w:rFonts w:ascii="Arial" w:hAnsi="Arial" w:cs="Arial"/>
          <w:sz w:val="20"/>
          <w:szCs w:val="20"/>
        </w:rPr>
        <w:t xml:space="preserve">Using the Vendor-identified EHR function(s) </w:t>
      </w:r>
      <w:r w:rsidR="004A1BF8">
        <w:rPr>
          <w:rFonts w:ascii="Arial" w:hAnsi="Arial" w:cs="Arial"/>
          <w:sz w:val="20"/>
          <w:szCs w:val="20"/>
        </w:rPr>
        <w:t>and the NIST Immunization Conformance Test Tool</w:t>
      </w:r>
      <w:r w:rsidR="00595C8D">
        <w:rPr>
          <w:rFonts w:ascii="Arial" w:hAnsi="Arial" w:cs="Arial"/>
          <w:sz w:val="20"/>
          <w:szCs w:val="20"/>
        </w:rPr>
        <w:t>,</w:t>
      </w:r>
      <w:r w:rsidR="004A1BF8">
        <w:rPr>
          <w:rFonts w:ascii="Arial" w:hAnsi="Arial" w:cs="Arial"/>
          <w:sz w:val="20"/>
          <w:szCs w:val="20"/>
        </w:rPr>
        <w:t xml:space="preserve"> </w:t>
      </w:r>
      <w:r w:rsidRPr="004A1BF8">
        <w:rPr>
          <w:rFonts w:ascii="Arial" w:hAnsi="Arial" w:cs="Arial"/>
          <w:sz w:val="20"/>
          <w:szCs w:val="20"/>
        </w:rPr>
        <w:t xml:space="preserve">the </w:t>
      </w:r>
      <w:r w:rsidR="00595C8D">
        <w:rPr>
          <w:rFonts w:ascii="Arial" w:hAnsi="Arial" w:cs="Arial"/>
          <w:sz w:val="20"/>
          <w:szCs w:val="20"/>
        </w:rPr>
        <w:t>V</w:t>
      </w:r>
      <w:r w:rsidRPr="004A1BF8">
        <w:rPr>
          <w:rFonts w:ascii="Arial" w:hAnsi="Arial" w:cs="Arial"/>
          <w:sz w:val="20"/>
          <w:szCs w:val="20"/>
        </w:rPr>
        <w:t xml:space="preserve">endor shall demonstrate </w:t>
      </w:r>
      <w:r w:rsidR="00595C8D">
        <w:rPr>
          <w:rFonts w:ascii="Arial" w:hAnsi="Arial" w:cs="Arial"/>
          <w:sz w:val="20"/>
          <w:szCs w:val="20"/>
        </w:rPr>
        <w:t xml:space="preserve">to the Tester that their EHR </w:t>
      </w:r>
      <w:r w:rsidRPr="004A1BF8">
        <w:rPr>
          <w:rFonts w:ascii="Arial" w:hAnsi="Arial" w:cs="Arial"/>
          <w:sz w:val="20"/>
          <w:szCs w:val="20"/>
        </w:rPr>
        <w:t>support</w:t>
      </w:r>
      <w:r w:rsidR="00595C8D">
        <w:rPr>
          <w:rFonts w:ascii="Arial" w:hAnsi="Arial" w:cs="Arial"/>
          <w:sz w:val="20"/>
          <w:szCs w:val="20"/>
        </w:rPr>
        <w:t>s</w:t>
      </w:r>
      <w:r w:rsidRPr="004A1BF8">
        <w:rPr>
          <w:rFonts w:ascii="Arial" w:hAnsi="Arial" w:cs="Arial"/>
          <w:sz w:val="20"/>
          <w:szCs w:val="20"/>
        </w:rPr>
        <w:t xml:space="preserve">  the</w:t>
      </w:r>
      <w:r w:rsidR="00010FF2" w:rsidRPr="004A1BF8">
        <w:rPr>
          <w:rFonts w:ascii="Arial" w:hAnsi="Arial" w:cs="Arial"/>
          <w:sz w:val="20"/>
          <w:szCs w:val="20"/>
        </w:rPr>
        <w:t xml:space="preserve"> CDC-defined NIP001 – Immunization information source value set</w:t>
      </w:r>
    </w:p>
    <w:p w:rsidR="000F1FDE" w:rsidRDefault="00595C8D" w:rsidP="000F1FDE">
      <w:pPr>
        <w:pStyle w:val="ListParagraph"/>
        <w:numPr>
          <w:ilvl w:val="0"/>
          <w:numId w:val="19"/>
        </w:numPr>
        <w:spacing w:line="300" w:lineRule="atLeast"/>
        <w:rPr>
          <w:rFonts w:ascii="Arial" w:hAnsi="Arial" w:cs="Arial"/>
          <w:sz w:val="20"/>
          <w:szCs w:val="20"/>
        </w:rPr>
      </w:pPr>
      <w:r>
        <w:rPr>
          <w:rFonts w:ascii="Arial" w:hAnsi="Arial" w:cs="Arial"/>
          <w:sz w:val="20"/>
          <w:szCs w:val="20"/>
        </w:rPr>
        <w:t>At their discretion, t</w:t>
      </w:r>
      <w:r w:rsidR="000F1FDE">
        <w:rPr>
          <w:rFonts w:ascii="Arial" w:hAnsi="Arial" w:cs="Arial"/>
          <w:sz w:val="20"/>
          <w:szCs w:val="20"/>
        </w:rPr>
        <w:t xml:space="preserve">he Tester may select another value set specified in the </w:t>
      </w:r>
      <w:r w:rsidRPr="00B85E6B">
        <w:rPr>
          <w:rFonts w:ascii="Arial" w:hAnsi="Arial" w:cs="Arial"/>
          <w:color w:val="000000"/>
          <w:sz w:val="20"/>
          <w:szCs w:val="20"/>
        </w:rPr>
        <w:t>HL7 2.5.1 Implementation Guide for Immunization Messaging, Release 1.4</w:t>
      </w:r>
      <w:r>
        <w:rPr>
          <w:rFonts w:ascii="Arial" w:hAnsi="Arial" w:cs="Arial"/>
          <w:color w:val="000000"/>
          <w:sz w:val="20"/>
          <w:szCs w:val="20"/>
        </w:rPr>
        <w:t xml:space="preserve"> </w:t>
      </w:r>
      <w:r w:rsidR="000F1FDE" w:rsidRPr="0063136D">
        <w:rPr>
          <w:rFonts w:ascii="Arial" w:hAnsi="Arial" w:cs="Arial"/>
          <w:sz w:val="20"/>
          <w:szCs w:val="20"/>
        </w:rPr>
        <w:t>interoperability standard</w:t>
      </w:r>
      <w:r>
        <w:rPr>
          <w:rFonts w:ascii="Arial" w:hAnsi="Arial" w:cs="Arial"/>
          <w:sz w:val="20"/>
          <w:szCs w:val="20"/>
        </w:rPr>
        <w:t>, and, u</w:t>
      </w:r>
      <w:r w:rsidR="000F1FDE">
        <w:rPr>
          <w:rFonts w:ascii="Arial" w:hAnsi="Arial" w:cs="Arial"/>
          <w:sz w:val="20"/>
          <w:szCs w:val="20"/>
        </w:rPr>
        <w:t xml:space="preserve">sing </w:t>
      </w:r>
      <w:r w:rsidR="000F1FDE" w:rsidRPr="0063136D">
        <w:rPr>
          <w:rFonts w:ascii="Arial" w:hAnsi="Arial" w:cs="Arial"/>
          <w:sz w:val="20"/>
          <w:szCs w:val="20"/>
        </w:rPr>
        <w:t xml:space="preserve">the Vendor-identified EHR function(s) </w:t>
      </w:r>
      <w:r w:rsidR="004A1BF8">
        <w:rPr>
          <w:rFonts w:ascii="Arial" w:hAnsi="Arial" w:cs="Arial"/>
          <w:sz w:val="20"/>
          <w:szCs w:val="20"/>
        </w:rPr>
        <w:t>and the NIST Immunization Conformance Test Tool</w:t>
      </w:r>
      <w:r>
        <w:rPr>
          <w:rFonts w:ascii="Arial" w:hAnsi="Arial" w:cs="Arial"/>
          <w:sz w:val="20"/>
          <w:szCs w:val="20"/>
        </w:rPr>
        <w:t>,</w:t>
      </w:r>
      <w:r w:rsidR="004A1BF8">
        <w:rPr>
          <w:rFonts w:ascii="Arial" w:hAnsi="Arial" w:cs="Arial"/>
          <w:sz w:val="20"/>
          <w:szCs w:val="20"/>
        </w:rPr>
        <w:t xml:space="preserve"> </w:t>
      </w:r>
      <w:r w:rsidR="000F1FDE">
        <w:rPr>
          <w:rFonts w:ascii="Arial" w:hAnsi="Arial" w:cs="Arial"/>
          <w:sz w:val="20"/>
          <w:szCs w:val="20"/>
        </w:rPr>
        <w:t xml:space="preserve">the </w:t>
      </w:r>
      <w:r>
        <w:rPr>
          <w:rFonts w:ascii="Arial" w:hAnsi="Arial" w:cs="Arial"/>
          <w:sz w:val="20"/>
          <w:szCs w:val="20"/>
        </w:rPr>
        <w:t>V</w:t>
      </w:r>
      <w:r w:rsidR="000F1FDE">
        <w:rPr>
          <w:rFonts w:ascii="Arial" w:hAnsi="Arial" w:cs="Arial"/>
          <w:sz w:val="20"/>
          <w:szCs w:val="20"/>
        </w:rPr>
        <w:t xml:space="preserve">endor shall demonstrate </w:t>
      </w:r>
      <w:r>
        <w:rPr>
          <w:rFonts w:ascii="Arial" w:hAnsi="Arial" w:cs="Arial"/>
          <w:sz w:val="20"/>
          <w:szCs w:val="20"/>
        </w:rPr>
        <w:t xml:space="preserve">that their EHR </w:t>
      </w:r>
      <w:r w:rsidR="000F1FDE">
        <w:rPr>
          <w:rFonts w:ascii="Arial" w:hAnsi="Arial" w:cs="Arial"/>
          <w:sz w:val="20"/>
          <w:szCs w:val="20"/>
        </w:rPr>
        <w:t>support</w:t>
      </w:r>
      <w:r>
        <w:rPr>
          <w:rFonts w:ascii="Arial" w:hAnsi="Arial" w:cs="Arial"/>
          <w:sz w:val="20"/>
          <w:szCs w:val="20"/>
        </w:rPr>
        <w:t>s</w:t>
      </w:r>
      <w:r w:rsidR="000F1FDE">
        <w:rPr>
          <w:rFonts w:ascii="Arial" w:hAnsi="Arial" w:cs="Arial"/>
          <w:sz w:val="20"/>
          <w:szCs w:val="20"/>
        </w:rPr>
        <w:t xml:space="preserve">  </w:t>
      </w:r>
      <w:r>
        <w:rPr>
          <w:rFonts w:ascii="Arial" w:hAnsi="Arial" w:cs="Arial"/>
          <w:sz w:val="20"/>
          <w:szCs w:val="20"/>
        </w:rPr>
        <w:t>that</w:t>
      </w:r>
      <w:r w:rsidR="000F1FDE">
        <w:rPr>
          <w:rFonts w:ascii="Arial" w:hAnsi="Arial" w:cs="Arial"/>
          <w:sz w:val="20"/>
          <w:szCs w:val="20"/>
        </w:rPr>
        <w:t xml:space="preserve"> selected value set</w:t>
      </w:r>
    </w:p>
    <w:p w:rsidR="005F33DE" w:rsidRPr="003B1179" w:rsidRDefault="005F33DE" w:rsidP="009F5E88">
      <w:pPr>
        <w:pStyle w:val="ListParagraph"/>
        <w:spacing w:line="300" w:lineRule="atLeast"/>
        <w:ind w:left="2040" w:hanging="2040"/>
        <w:rPr>
          <w:rFonts w:ascii="Arial" w:hAnsi="Arial" w:cs="Arial"/>
          <w:sz w:val="20"/>
          <w:szCs w:val="20"/>
        </w:rPr>
      </w:pPr>
    </w:p>
    <w:p w:rsidR="003B1179" w:rsidRDefault="003B1179" w:rsidP="0074783F">
      <w:pPr>
        <w:tabs>
          <w:tab w:val="left" w:pos="600"/>
        </w:tabs>
        <w:spacing w:line="300" w:lineRule="atLeast"/>
        <w:ind w:left="2040" w:hanging="2040"/>
        <w:rPr>
          <w:rFonts w:cs="Arial"/>
        </w:rPr>
      </w:pPr>
    </w:p>
    <w:p w:rsidR="00A112E0" w:rsidRDefault="00A112E0">
      <w:pPr>
        <w:rPr>
          <w:rFonts w:cs="Arial"/>
        </w:rPr>
      </w:pPr>
      <w:r>
        <w:rPr>
          <w:rFonts w:cs="Arial"/>
        </w:rPr>
        <w:br w:type="page"/>
      </w:r>
    </w:p>
    <w:p w:rsidR="00A112E0" w:rsidRDefault="00A112E0" w:rsidP="0074783F">
      <w:pPr>
        <w:tabs>
          <w:tab w:val="left" w:pos="600"/>
        </w:tabs>
        <w:spacing w:line="300" w:lineRule="atLeast"/>
        <w:ind w:left="2040" w:hanging="2040"/>
        <w:rPr>
          <w:rFonts w:cs="Arial"/>
        </w:rPr>
      </w:pPr>
    </w:p>
    <w:p w:rsidR="00A112E0" w:rsidRDefault="00A112E0" w:rsidP="00A112E0">
      <w:pPr>
        <w:pStyle w:val="Heading3"/>
        <w:numPr>
          <w:ilvl w:val="0"/>
          <w:numId w:val="0"/>
        </w:numPr>
      </w:pPr>
      <w:r w:rsidRPr="00645420">
        <w:t>Test Data</w:t>
      </w:r>
    </w:p>
    <w:p w:rsidR="00A112E0" w:rsidRPr="00C1158F" w:rsidRDefault="00A112E0" w:rsidP="00A112E0">
      <w:pPr>
        <w:spacing w:line="300" w:lineRule="atLeast"/>
        <w:rPr>
          <w:rFonts w:cs="Arial"/>
        </w:rPr>
      </w:pPr>
      <w:r w:rsidRPr="00C1158F">
        <w:rPr>
          <w:rFonts w:cs="Arial"/>
        </w:rPr>
        <w:t>Test data is provided in the Test Procedure to ensure that the functional and interoperab</w:t>
      </w:r>
      <w:r w:rsidR="000F7F5F">
        <w:rPr>
          <w:rFonts w:cs="Arial"/>
        </w:rPr>
        <w:t>i</w:t>
      </w:r>
      <w:r w:rsidRPr="00C1158F">
        <w:rPr>
          <w:rFonts w:cs="Arial"/>
        </w:rPr>
        <w:t>l</w:t>
      </w:r>
      <w:r w:rsidR="000F7F5F">
        <w:rPr>
          <w:rFonts w:cs="Arial"/>
        </w:rPr>
        <w:t>ity</w:t>
      </w:r>
      <w:r w:rsidRPr="00C1158F">
        <w:rPr>
          <w:rFonts w:cs="Arial"/>
        </w:rPr>
        <w:t xml:space="preserve"> requirements identified in the criteria can be adequately evaluated for conformance, as well as to provide consistency in the testing process across multiple </w:t>
      </w:r>
      <w:r w:rsidR="00926403">
        <w:rPr>
          <w:rFonts w:cs="Arial"/>
        </w:rPr>
        <w:t>NVLAP-Ac</w:t>
      </w:r>
      <w:r w:rsidR="008377CC">
        <w:rPr>
          <w:rFonts w:cs="Arial"/>
        </w:rPr>
        <w:t>c</w:t>
      </w:r>
      <w:r w:rsidR="00926403">
        <w:rPr>
          <w:rFonts w:cs="Arial"/>
        </w:rPr>
        <w:t>redited</w:t>
      </w:r>
      <w:r w:rsidRPr="00C1158F">
        <w:rPr>
          <w:rFonts w:cs="Arial"/>
        </w:rPr>
        <w:t xml:space="preserve"> Testing </w:t>
      </w:r>
      <w:r w:rsidR="00926403">
        <w:rPr>
          <w:rFonts w:cs="Arial"/>
        </w:rPr>
        <w:t>Labs</w:t>
      </w:r>
      <w:r w:rsidRPr="00C1158F">
        <w:rPr>
          <w:rFonts w:cs="Arial"/>
        </w:rPr>
        <w:t xml:space="preserve"> (AT</w:t>
      </w:r>
      <w:r w:rsidR="00926403">
        <w:rPr>
          <w:rFonts w:cs="Arial"/>
        </w:rPr>
        <w:t>L</w:t>
      </w:r>
      <w:r w:rsidRPr="00C1158F">
        <w:rPr>
          <w:rFonts w:cs="Arial"/>
        </w:rPr>
        <w:t xml:space="preserve">s).  The </w:t>
      </w:r>
      <w:r w:rsidR="00C1158F">
        <w:rPr>
          <w:rFonts w:cs="Arial"/>
        </w:rPr>
        <w:t>provided</w:t>
      </w:r>
      <w:r w:rsidR="00C1158F" w:rsidRPr="00C1158F">
        <w:rPr>
          <w:rFonts w:cs="Arial"/>
        </w:rPr>
        <w:t xml:space="preserve"> </w:t>
      </w:r>
      <w:r w:rsidRPr="00C1158F">
        <w:rPr>
          <w:rFonts w:cs="Arial"/>
        </w:rPr>
        <w:t xml:space="preserve">test data focus on evaluating the basic capabilities of required EHR technology, rather than exercising the full breadth/depth of capability that installed EHR technology might be expected to support.  The test data </w:t>
      </w:r>
      <w:r w:rsidR="00926403">
        <w:rPr>
          <w:rFonts w:cs="Arial"/>
        </w:rPr>
        <w:t>are</w:t>
      </w:r>
      <w:r w:rsidR="00926403" w:rsidRPr="00C1158F">
        <w:rPr>
          <w:rFonts w:cs="Arial"/>
        </w:rPr>
        <w:t xml:space="preserve"> </w:t>
      </w:r>
      <w:r w:rsidRPr="00C1158F">
        <w:rPr>
          <w:rFonts w:cs="Arial"/>
        </w:rPr>
        <w:t>formatted for readability of use within the testing process.  The format is not prescribing a particular end-user view or rendering.  No additional requirements should be drawn from the format</w:t>
      </w:r>
    </w:p>
    <w:p w:rsidR="00A112E0" w:rsidRPr="00C1158F" w:rsidRDefault="00A112E0" w:rsidP="00A112E0">
      <w:pPr>
        <w:spacing w:line="300" w:lineRule="atLeast"/>
        <w:rPr>
          <w:rFonts w:cs="Arial"/>
        </w:rPr>
      </w:pPr>
    </w:p>
    <w:p w:rsidR="00A112E0" w:rsidRPr="00C1158F" w:rsidRDefault="00A112E0" w:rsidP="00A112E0">
      <w:pPr>
        <w:spacing w:line="300" w:lineRule="atLeast"/>
        <w:rPr>
          <w:rFonts w:cs="Arial"/>
        </w:rPr>
      </w:pPr>
      <w:r w:rsidRPr="00C1158F">
        <w:rPr>
          <w:rFonts w:cs="Arial"/>
        </w:rPr>
        <w:t xml:space="preserve">The Tester shall use and apply the </w:t>
      </w:r>
      <w:r w:rsidR="00C1158F">
        <w:rPr>
          <w:rFonts w:cs="Arial"/>
        </w:rPr>
        <w:t>provided</w:t>
      </w:r>
      <w:r w:rsidR="00C1158F" w:rsidRPr="00C1158F">
        <w:rPr>
          <w:rFonts w:cs="Arial"/>
        </w:rPr>
        <w:t xml:space="preserve"> </w:t>
      </w:r>
      <w:r w:rsidRPr="00C1158F">
        <w:rPr>
          <w:rFonts w:cs="Arial"/>
        </w:rPr>
        <w:t>test data during the test, without exception, unless one of the following conditions exists:</w:t>
      </w:r>
    </w:p>
    <w:p w:rsidR="00A112E0" w:rsidRPr="00C1158F" w:rsidRDefault="00A112E0" w:rsidP="00A112E0">
      <w:pPr>
        <w:pStyle w:val="ListParagraph"/>
        <w:numPr>
          <w:ilvl w:val="0"/>
          <w:numId w:val="15"/>
        </w:numPr>
        <w:autoSpaceDE/>
        <w:autoSpaceDN/>
        <w:adjustRightInd/>
        <w:spacing w:line="300" w:lineRule="atLeast"/>
        <w:rPr>
          <w:rFonts w:ascii="Arial" w:hAnsi="Arial" w:cs="Arial"/>
          <w:sz w:val="20"/>
          <w:szCs w:val="20"/>
        </w:rPr>
      </w:pPr>
      <w:r w:rsidRPr="00C1158F">
        <w:rPr>
          <w:rFonts w:ascii="Arial" w:hAnsi="Arial" w:cs="Arial"/>
          <w:sz w:val="20"/>
          <w:szCs w:val="20"/>
        </w:rPr>
        <w:t>The tester determines that the Vendor-selected message format requires some modification to the test data.</w:t>
      </w:r>
    </w:p>
    <w:p w:rsidR="00A112E0" w:rsidRPr="00C1158F" w:rsidRDefault="00A112E0" w:rsidP="00A112E0">
      <w:pPr>
        <w:pStyle w:val="ListParagraph"/>
        <w:numPr>
          <w:ilvl w:val="0"/>
          <w:numId w:val="15"/>
        </w:numPr>
        <w:autoSpaceDE/>
        <w:autoSpaceDN/>
        <w:adjustRightInd/>
        <w:spacing w:line="300" w:lineRule="atLeast"/>
        <w:rPr>
          <w:rFonts w:ascii="Arial" w:hAnsi="Arial" w:cs="Arial"/>
          <w:sz w:val="20"/>
          <w:szCs w:val="20"/>
        </w:rPr>
      </w:pPr>
      <w:r w:rsidRPr="00C1158F">
        <w:rPr>
          <w:rFonts w:ascii="Arial" w:hAnsi="Arial" w:cs="Arial"/>
          <w:sz w:val="20"/>
          <w:szCs w:val="20"/>
        </w:rPr>
        <w:t xml:space="preserve">The Tester determines that the Vendor product is sufficiently specialized that the </w:t>
      </w:r>
      <w:r w:rsidR="00AB458F">
        <w:rPr>
          <w:rFonts w:ascii="Arial" w:hAnsi="Arial" w:cs="Arial"/>
          <w:sz w:val="20"/>
          <w:szCs w:val="20"/>
        </w:rPr>
        <w:t>provided</w:t>
      </w:r>
      <w:r w:rsidR="00AB458F" w:rsidRPr="00C1158F">
        <w:rPr>
          <w:rFonts w:ascii="Arial" w:hAnsi="Arial" w:cs="Arial"/>
          <w:sz w:val="20"/>
          <w:szCs w:val="20"/>
        </w:rPr>
        <w:t xml:space="preserve"> </w:t>
      </w:r>
      <w:r w:rsidRPr="00C1158F">
        <w:rPr>
          <w:rFonts w:ascii="Arial" w:hAnsi="Arial" w:cs="Arial"/>
          <w:sz w:val="20"/>
          <w:szCs w:val="20"/>
        </w:rPr>
        <w:t xml:space="preserve">test data needs to be modified in order to conduct an adequate test.  Having made the determination that some modification to the </w:t>
      </w:r>
      <w:r w:rsidR="00AB458F">
        <w:rPr>
          <w:rFonts w:ascii="Arial" w:hAnsi="Arial" w:cs="Arial"/>
          <w:sz w:val="20"/>
          <w:szCs w:val="20"/>
        </w:rPr>
        <w:t>provided</w:t>
      </w:r>
      <w:r w:rsidR="00AB458F" w:rsidRPr="00C1158F">
        <w:rPr>
          <w:rFonts w:ascii="Arial" w:hAnsi="Arial" w:cs="Arial"/>
          <w:sz w:val="20"/>
          <w:szCs w:val="20"/>
        </w:rPr>
        <w:t xml:space="preserve"> </w:t>
      </w:r>
      <w:r w:rsidRPr="00C1158F">
        <w:rPr>
          <w:rFonts w:ascii="Arial" w:hAnsi="Arial" w:cs="Arial"/>
          <w:sz w:val="20"/>
          <w:szCs w:val="20"/>
        </w:rPr>
        <w:t>test data is necessary, the Tester shall record the modifications made as part of the test documentation.</w:t>
      </w:r>
    </w:p>
    <w:p w:rsidR="00A112E0" w:rsidRPr="00C1158F" w:rsidRDefault="00A112E0" w:rsidP="00A112E0">
      <w:pPr>
        <w:numPr>
          <w:ilvl w:val="2"/>
          <w:numId w:val="16"/>
        </w:numPr>
        <w:spacing w:line="300" w:lineRule="atLeast"/>
        <w:rPr>
          <w:rFonts w:cs="Arial"/>
        </w:rPr>
      </w:pPr>
      <w:r w:rsidRPr="00C1158F">
        <w:rPr>
          <w:rFonts w:cs="Arial"/>
        </w:rPr>
        <w:t>The Tester determines that changes to the test data will improve the efficiency of the testing process; primarily through using consistent demographic data throughout the testing workflow. The Tester shall ensure that the functional and interoperable requirements identified in the criterion can be adequately evaluated for conformance and that the test data provides a comparable level of robustness.</w:t>
      </w:r>
    </w:p>
    <w:p w:rsidR="00A112E0" w:rsidRPr="00C1158F" w:rsidRDefault="00A112E0" w:rsidP="00A112E0">
      <w:pPr>
        <w:spacing w:line="300" w:lineRule="atLeast"/>
        <w:rPr>
          <w:rFonts w:cs="Arial"/>
        </w:rPr>
      </w:pPr>
    </w:p>
    <w:p w:rsidR="00A112E0" w:rsidRPr="00C1158F" w:rsidRDefault="00A112E0" w:rsidP="00A112E0">
      <w:pPr>
        <w:spacing w:line="300" w:lineRule="atLeast"/>
        <w:rPr>
          <w:rFonts w:cs="Arial"/>
        </w:rPr>
      </w:pPr>
      <w:r w:rsidRPr="00C1158F">
        <w:rPr>
          <w:rFonts w:cs="Arial"/>
        </w:rPr>
        <w:t xml:space="preserve">Any departure from the </w:t>
      </w:r>
      <w:r w:rsidR="00AB458F">
        <w:rPr>
          <w:rFonts w:cs="Arial"/>
        </w:rPr>
        <w:t>provided</w:t>
      </w:r>
      <w:r w:rsidR="00AB458F" w:rsidRPr="00C1158F">
        <w:rPr>
          <w:rFonts w:cs="Arial"/>
        </w:rPr>
        <w:t xml:space="preserve"> </w:t>
      </w:r>
      <w:r w:rsidRPr="00C1158F">
        <w:rPr>
          <w:rFonts w:cs="Arial"/>
        </w:rPr>
        <w:t>test data shall strictly focus on meeting the basic capabilities required of EHR technology relative to the certification criterion rather than exercising the full breadth/depth of capability that installed EHR technology might be expected to support.</w:t>
      </w:r>
    </w:p>
    <w:p w:rsidR="00A112E0" w:rsidRPr="00C1158F" w:rsidRDefault="00A112E0" w:rsidP="00A112E0">
      <w:pPr>
        <w:spacing w:line="300" w:lineRule="atLeast"/>
        <w:rPr>
          <w:rFonts w:cs="Arial"/>
        </w:rPr>
      </w:pPr>
    </w:p>
    <w:p w:rsidR="00A112E0" w:rsidRPr="00D0484E" w:rsidRDefault="00A112E0" w:rsidP="00A112E0">
      <w:pPr>
        <w:spacing w:line="300" w:lineRule="atLeast"/>
        <w:rPr>
          <w:rFonts w:cs="Arial"/>
          <w:color w:val="FF0000"/>
        </w:rPr>
      </w:pPr>
      <w:r w:rsidRPr="00C1158F">
        <w:rPr>
          <w:rFonts w:cs="Arial"/>
        </w:rPr>
        <w:t>The Test Procedures require that the Tester enter the test data into the EHR technology being evaluated for conformance.  The intent is that the Tester fully controls the process of entering the test data in order to ensure that the data are correctly entered as specified in the test procedure.  If a situation arises where it is impractical for a Tester to directly enter the test data, the Tester, at the Tester’s discretion, may instruct the Vendor to enter the test data, so long as the Tester remains in full control of the testing process, directly observes the test data being entered by the Vendor, and validates that the test data are entered correctly as specified in the test procedure.</w:t>
      </w:r>
      <w:r w:rsidRPr="00D0484E">
        <w:rPr>
          <w:rFonts w:cs="Arial"/>
          <w:color w:val="FF0000"/>
        </w:rPr>
        <w:t xml:space="preserve"> </w:t>
      </w:r>
    </w:p>
    <w:p w:rsidR="00A112E0" w:rsidRPr="003B1179" w:rsidRDefault="00A112E0" w:rsidP="00A112E0">
      <w:pPr>
        <w:tabs>
          <w:tab w:val="left" w:pos="600"/>
        </w:tabs>
        <w:spacing w:line="300" w:lineRule="atLeast"/>
        <w:ind w:left="2040" w:hanging="2040"/>
        <w:rPr>
          <w:rFonts w:cs="Arial"/>
        </w:rPr>
      </w:pPr>
    </w:p>
    <w:p w:rsidR="00FC59FE" w:rsidRDefault="006120BA" w:rsidP="0074783F">
      <w:pPr>
        <w:tabs>
          <w:tab w:val="left" w:pos="600"/>
        </w:tabs>
        <w:spacing w:line="300" w:lineRule="atLeast"/>
        <w:ind w:left="2040" w:hanging="2040"/>
        <w:rPr>
          <w:rFonts w:cs="Arial"/>
        </w:rPr>
      </w:pPr>
      <w:r>
        <w:rPr>
          <w:rFonts w:cs="Arial"/>
        </w:rPr>
        <w:t>For this test procedure the</w:t>
      </w:r>
      <w:r w:rsidR="00FC59FE">
        <w:rPr>
          <w:rFonts w:cs="Arial"/>
        </w:rPr>
        <w:t xml:space="preserve"> Tester shall select one </w:t>
      </w:r>
      <w:r w:rsidR="00F946F7">
        <w:rPr>
          <w:rFonts w:cs="Arial"/>
        </w:rPr>
        <w:t xml:space="preserve">Data Set </w:t>
      </w:r>
      <w:r w:rsidR="00FC59FE">
        <w:rPr>
          <w:rFonts w:cs="Arial"/>
        </w:rPr>
        <w:t xml:space="preserve">from </w:t>
      </w:r>
      <w:r w:rsidR="00C9737A" w:rsidRPr="00C9737A">
        <w:rPr>
          <w:rFonts w:cs="Arial"/>
          <w:b/>
        </w:rPr>
        <w:t>each</w:t>
      </w:r>
      <w:r w:rsidR="00FC59FE">
        <w:rPr>
          <w:rFonts w:cs="Arial"/>
        </w:rPr>
        <w:t xml:space="preserve"> of the </w:t>
      </w:r>
      <w:r w:rsidR="00AB458F">
        <w:rPr>
          <w:rFonts w:cs="Arial"/>
        </w:rPr>
        <w:t xml:space="preserve">seven </w:t>
      </w:r>
      <w:r w:rsidR="00FC59FE">
        <w:rPr>
          <w:rFonts w:cs="Arial"/>
        </w:rPr>
        <w:t>Test Cases listed:</w:t>
      </w:r>
    </w:p>
    <w:p w:rsidR="00FC59FE" w:rsidRDefault="00FC59FE" w:rsidP="0074783F">
      <w:pPr>
        <w:tabs>
          <w:tab w:val="left" w:pos="600"/>
        </w:tabs>
        <w:spacing w:line="300" w:lineRule="atLeast"/>
        <w:ind w:left="2040" w:hanging="2040"/>
        <w:rPr>
          <w:rFonts w:cs="Arial"/>
        </w:rPr>
      </w:pPr>
    </w:p>
    <w:p w:rsidR="00080DC1" w:rsidRDefault="00FC59FE" w:rsidP="00AB458F">
      <w:pPr>
        <w:pStyle w:val="ListParagraph"/>
        <w:numPr>
          <w:ilvl w:val="0"/>
          <w:numId w:val="20"/>
        </w:numPr>
        <w:tabs>
          <w:tab w:val="left" w:pos="600"/>
        </w:tabs>
        <w:spacing w:line="300" w:lineRule="atLeast"/>
        <w:rPr>
          <w:rFonts w:cs="Arial"/>
        </w:rPr>
      </w:pPr>
      <w:r>
        <w:rPr>
          <w:rFonts w:cs="Arial"/>
        </w:rPr>
        <w:t>Admin for Child</w:t>
      </w:r>
    </w:p>
    <w:p w:rsidR="00080DC1" w:rsidRDefault="00FC59FE" w:rsidP="00AB458F">
      <w:pPr>
        <w:pStyle w:val="ListParagraph"/>
        <w:numPr>
          <w:ilvl w:val="0"/>
          <w:numId w:val="20"/>
        </w:numPr>
        <w:tabs>
          <w:tab w:val="left" w:pos="600"/>
        </w:tabs>
        <w:spacing w:line="300" w:lineRule="atLeast"/>
        <w:rPr>
          <w:rFonts w:cs="Arial"/>
        </w:rPr>
      </w:pPr>
      <w:r>
        <w:rPr>
          <w:rFonts w:cs="Arial"/>
        </w:rPr>
        <w:t>Admin for Adult</w:t>
      </w:r>
    </w:p>
    <w:p w:rsidR="00080DC1" w:rsidRDefault="00FC59FE" w:rsidP="00AB458F">
      <w:pPr>
        <w:pStyle w:val="ListParagraph"/>
        <w:numPr>
          <w:ilvl w:val="0"/>
          <w:numId w:val="20"/>
        </w:numPr>
        <w:tabs>
          <w:tab w:val="left" w:pos="600"/>
        </w:tabs>
        <w:spacing w:line="300" w:lineRule="atLeast"/>
        <w:rPr>
          <w:rFonts w:cs="Arial"/>
        </w:rPr>
      </w:pPr>
      <w:r>
        <w:rPr>
          <w:rFonts w:cs="Arial"/>
        </w:rPr>
        <w:t>Historical for Child</w:t>
      </w:r>
    </w:p>
    <w:p w:rsidR="00080DC1" w:rsidRDefault="00FC59FE" w:rsidP="00AB458F">
      <w:pPr>
        <w:pStyle w:val="ListParagraph"/>
        <w:numPr>
          <w:ilvl w:val="0"/>
          <w:numId w:val="20"/>
        </w:numPr>
        <w:tabs>
          <w:tab w:val="left" w:pos="600"/>
        </w:tabs>
        <w:spacing w:line="300" w:lineRule="atLeast"/>
        <w:rPr>
          <w:rFonts w:cs="Arial"/>
        </w:rPr>
      </w:pPr>
      <w:r>
        <w:rPr>
          <w:rFonts w:cs="Arial"/>
        </w:rPr>
        <w:t>Consented Child</w:t>
      </w:r>
    </w:p>
    <w:p w:rsidR="00080DC1" w:rsidRDefault="00FC59FE" w:rsidP="00AB458F">
      <w:pPr>
        <w:pStyle w:val="ListParagraph"/>
        <w:numPr>
          <w:ilvl w:val="0"/>
          <w:numId w:val="20"/>
        </w:numPr>
        <w:tabs>
          <w:tab w:val="left" w:pos="600"/>
        </w:tabs>
        <w:spacing w:line="300" w:lineRule="atLeast"/>
        <w:rPr>
          <w:rFonts w:cs="Arial"/>
        </w:rPr>
      </w:pPr>
      <w:r>
        <w:rPr>
          <w:rFonts w:cs="Arial"/>
        </w:rPr>
        <w:t>Refused Toddler</w:t>
      </w:r>
    </w:p>
    <w:p w:rsidR="00080DC1" w:rsidRDefault="00FC59FE" w:rsidP="00AB458F">
      <w:pPr>
        <w:pStyle w:val="ListParagraph"/>
        <w:numPr>
          <w:ilvl w:val="0"/>
          <w:numId w:val="20"/>
        </w:numPr>
        <w:tabs>
          <w:tab w:val="left" w:pos="600"/>
        </w:tabs>
        <w:spacing w:line="300" w:lineRule="atLeast"/>
        <w:rPr>
          <w:rFonts w:cs="Arial"/>
        </w:rPr>
      </w:pPr>
      <w:r>
        <w:rPr>
          <w:rFonts w:cs="Arial"/>
        </w:rPr>
        <w:lastRenderedPageBreak/>
        <w:t>Varicella History Child</w:t>
      </w:r>
    </w:p>
    <w:p w:rsidR="000772D0" w:rsidRPr="000772D0" w:rsidRDefault="00FC59FE" w:rsidP="000772D0">
      <w:pPr>
        <w:pStyle w:val="ListParagraph"/>
        <w:numPr>
          <w:ilvl w:val="0"/>
          <w:numId w:val="20"/>
        </w:numPr>
        <w:tabs>
          <w:tab w:val="left" w:pos="600"/>
        </w:tabs>
        <w:spacing w:line="300" w:lineRule="atLeast"/>
        <w:rPr>
          <w:rFonts w:cs="Arial"/>
        </w:rPr>
      </w:pPr>
      <w:r>
        <w:rPr>
          <w:rFonts w:cs="Arial"/>
        </w:rPr>
        <w:t>Complete Record</w:t>
      </w:r>
      <w:r w:rsidRPr="00FC59FE">
        <w:rPr>
          <w:rFonts w:cs="Arial"/>
        </w:rPr>
        <w:t xml:space="preserve"> </w:t>
      </w:r>
    </w:p>
    <w:p w:rsidR="000772D0" w:rsidRDefault="000772D0" w:rsidP="008511EB"/>
    <w:p w:rsidR="000772D0" w:rsidRDefault="000772D0" w:rsidP="008511EB">
      <w:r>
        <w:t>The Tester shall follow the normative test procedure to conduct these tests.</w:t>
      </w:r>
      <w:r w:rsidR="00396D17">
        <w:t xml:space="preserve"> Table 1 (Immunization Test Cases and Associated Data Sets) lists the seven test ca</w:t>
      </w:r>
      <w:r w:rsidR="003E253A">
        <w:t>se categories and identifies</w:t>
      </w:r>
      <w:r w:rsidR="00396D17">
        <w:t xml:space="preserve"> </w:t>
      </w:r>
      <w:r w:rsidR="003E253A">
        <w:t xml:space="preserve">three data sets for each category. Details of the test cases (data sets) are provided in PDF files and are </w:t>
      </w:r>
      <w:r w:rsidR="00A86719">
        <w:t xml:space="preserve">also </w:t>
      </w:r>
      <w:r w:rsidR="003E253A">
        <w:t>accessible in the test tool</w:t>
      </w:r>
      <w:r w:rsidR="00345821">
        <w:t xml:space="preserve"> (See the Context-based Validation tab)</w:t>
      </w:r>
      <w:r w:rsidR="003E253A">
        <w:t xml:space="preserve">. </w:t>
      </w:r>
    </w:p>
    <w:p w:rsidR="00741880" w:rsidRDefault="000772D0" w:rsidP="008511EB">
      <w:pPr>
        <w:rPr>
          <w:highlight w:val="yellow"/>
        </w:rPr>
      </w:pPr>
      <w:r>
        <w:t xml:space="preserve"> </w:t>
      </w:r>
    </w:p>
    <w:p w:rsidR="00741880" w:rsidRPr="00FA54A0" w:rsidRDefault="00741880" w:rsidP="008511EB">
      <w:pPr>
        <w:rPr>
          <w:highlight w:val="yellow"/>
        </w:rPr>
      </w:pPr>
    </w:p>
    <w:p w:rsidR="00741880" w:rsidRPr="00E40745" w:rsidRDefault="00396D17" w:rsidP="00A86719">
      <w:pPr>
        <w:spacing w:line="300" w:lineRule="atLeast"/>
        <w:jc w:val="center"/>
        <w:rPr>
          <w:rFonts w:cs="Arial"/>
          <w:b/>
        </w:rPr>
      </w:pPr>
      <w:r>
        <w:rPr>
          <w:rFonts w:cs="Arial"/>
          <w:b/>
        </w:rPr>
        <w:t>Table 1: Immunization Test Cases and Associated Data Sets</w:t>
      </w:r>
    </w:p>
    <w:p w:rsidR="00AA5B66" w:rsidRPr="00FA54A0" w:rsidRDefault="00AA5B66" w:rsidP="008511EB">
      <w:pPr>
        <w:rPr>
          <w:highlight w:val="yellow"/>
        </w:rPr>
      </w:pPr>
    </w:p>
    <w:tbl>
      <w:tblPr>
        <w:tblW w:w="9198" w:type="dxa"/>
        <w:tblCellMar>
          <w:left w:w="0" w:type="dxa"/>
          <w:right w:w="0" w:type="dxa"/>
        </w:tblCellMar>
        <w:tblLook w:val="04A0"/>
      </w:tblPr>
      <w:tblGrid>
        <w:gridCol w:w="2898"/>
        <w:gridCol w:w="2160"/>
        <w:gridCol w:w="2070"/>
        <w:gridCol w:w="2070"/>
      </w:tblGrid>
      <w:tr w:rsidR="00741880" w:rsidRPr="005055DB" w:rsidTr="004B61C9">
        <w:trPr>
          <w:trHeight w:val="487"/>
        </w:trPr>
        <w:tc>
          <w:tcPr>
            <w:tcW w:w="9198" w:type="dxa"/>
            <w:gridSpan w:val="4"/>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rsidR="00741880" w:rsidRPr="004B61C9" w:rsidRDefault="00A948E1" w:rsidP="00741880">
            <w:pPr>
              <w:spacing w:after="200"/>
              <w:jc w:val="center"/>
              <w:rPr>
                <w:sz w:val="24"/>
                <w:szCs w:val="24"/>
              </w:rPr>
            </w:pPr>
            <w:r w:rsidRPr="004B61C9">
              <w:rPr>
                <w:b/>
                <w:bCs/>
                <w:color w:val="FFFFFF" w:themeColor="background1"/>
                <w:sz w:val="24"/>
                <w:szCs w:val="24"/>
              </w:rPr>
              <w:t xml:space="preserve">Immunization Test Cases and Associated </w:t>
            </w:r>
            <w:r w:rsidR="008377CC">
              <w:rPr>
                <w:b/>
                <w:bCs/>
                <w:color w:val="FFFFFF" w:themeColor="background1"/>
                <w:sz w:val="24"/>
                <w:szCs w:val="24"/>
              </w:rPr>
              <w:t>Data Sets</w:t>
            </w:r>
          </w:p>
        </w:tc>
      </w:tr>
      <w:tr w:rsidR="00741880" w:rsidRPr="005055DB" w:rsidTr="004B61C9">
        <w:trPr>
          <w:trHeight w:hRule="exact" w:val="432"/>
        </w:trPr>
        <w:tc>
          <w:tcPr>
            <w:tcW w:w="2898"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08096F" w:rsidRPr="004B61C9" w:rsidRDefault="00A948E1" w:rsidP="004B61C9">
            <w:pPr>
              <w:spacing w:after="200"/>
              <w:jc w:val="center"/>
            </w:pPr>
            <w:r w:rsidRPr="004B61C9">
              <w:rPr>
                <w:b/>
                <w:bCs/>
              </w:rPr>
              <w:t>Test Case Category</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08096F" w:rsidRDefault="00D3455E" w:rsidP="004B61C9">
            <w:pPr>
              <w:spacing w:after="200"/>
              <w:jc w:val="center"/>
              <w:rPr>
                <w:b/>
              </w:rPr>
            </w:pPr>
            <w:r>
              <w:rPr>
                <w:b/>
              </w:rPr>
              <w:t>Data Set 1</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08096F" w:rsidRDefault="00D3455E" w:rsidP="004B61C9">
            <w:pPr>
              <w:spacing w:after="200"/>
              <w:jc w:val="center"/>
              <w:rPr>
                <w:b/>
              </w:rPr>
            </w:pPr>
            <w:r>
              <w:rPr>
                <w:b/>
              </w:rPr>
              <w:t>Data Set 2</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08096F" w:rsidRDefault="00D3455E" w:rsidP="004B61C9">
            <w:pPr>
              <w:spacing w:after="200"/>
              <w:jc w:val="center"/>
              <w:rPr>
                <w:b/>
              </w:rPr>
            </w:pPr>
            <w:r>
              <w:rPr>
                <w:b/>
              </w:rPr>
              <w:t>Data Set 3</w:t>
            </w:r>
          </w:p>
        </w:tc>
      </w:tr>
      <w:tr w:rsidR="00741880" w:rsidRPr="005055DB" w:rsidTr="004B61C9">
        <w:trPr>
          <w:trHeight w:hRule="exact" w:val="432"/>
        </w:trPr>
        <w:tc>
          <w:tcPr>
            <w:tcW w:w="289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741880" w:rsidRPr="00741880" w:rsidRDefault="0065464B" w:rsidP="0065464B">
            <w:pPr>
              <w:spacing w:after="200"/>
              <w:rPr>
                <w:color w:val="FFFFFF" w:themeColor="background1"/>
                <w:sz w:val="18"/>
              </w:rPr>
            </w:pPr>
            <w:r>
              <w:rPr>
                <w:b/>
                <w:bCs/>
                <w:color w:val="FFFFFF" w:themeColor="background1"/>
                <w:sz w:val="18"/>
              </w:rPr>
              <w:t>1</w:t>
            </w:r>
            <w:r w:rsidR="00741880" w:rsidRPr="00741880">
              <w:rPr>
                <w:b/>
                <w:bCs/>
                <w:color w:val="FFFFFF" w:themeColor="background1"/>
                <w:sz w:val="18"/>
              </w:rPr>
              <w:t>.</w:t>
            </w:r>
            <w:r w:rsidR="00741880">
              <w:rPr>
                <w:b/>
                <w:bCs/>
                <w:color w:val="FFFFFF" w:themeColor="background1"/>
                <w:sz w:val="18"/>
              </w:rPr>
              <w:t xml:space="preserve"> </w:t>
            </w:r>
            <w:r w:rsidR="00741880" w:rsidRPr="00741880">
              <w:rPr>
                <w:b/>
                <w:bCs/>
                <w:color w:val="FFFFFF" w:themeColor="background1"/>
                <w:sz w:val="18"/>
              </w:rPr>
              <w:t>Administration for Child</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F946F7" w:rsidP="008377CC">
            <w:pPr>
              <w:spacing w:after="200"/>
              <w:jc w:val="center"/>
            </w:pPr>
            <w:r>
              <w:t>IZ_</w:t>
            </w:r>
            <w:r w:rsidR="00712F0F">
              <w:t>1_1.1</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Default="00D3455E" w:rsidP="008377CC">
            <w:pPr>
              <w:spacing w:after="200"/>
              <w:jc w:val="center"/>
            </w:pPr>
            <w:r>
              <w:t>To be added</w:t>
            </w:r>
          </w:p>
          <w:p w:rsidR="00D3455E" w:rsidRPr="005055DB" w:rsidRDefault="00D3455E" w:rsidP="008377CC">
            <w:pPr>
              <w:spacing w:after="200"/>
              <w:jc w:val="center"/>
            </w:pP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r>
      <w:tr w:rsidR="00741880" w:rsidRPr="005055DB" w:rsidTr="004B61C9">
        <w:trPr>
          <w:trHeight w:hRule="exact" w:val="432"/>
        </w:trPr>
        <w:tc>
          <w:tcPr>
            <w:tcW w:w="289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741880" w:rsidRPr="00741880" w:rsidRDefault="0065464B" w:rsidP="0065464B">
            <w:pPr>
              <w:spacing w:after="200"/>
              <w:rPr>
                <w:color w:val="FFFFFF" w:themeColor="background1"/>
                <w:sz w:val="18"/>
              </w:rPr>
            </w:pPr>
            <w:r>
              <w:rPr>
                <w:b/>
                <w:bCs/>
                <w:color w:val="FFFFFF" w:themeColor="background1"/>
                <w:sz w:val="18"/>
              </w:rPr>
              <w:t>2</w:t>
            </w:r>
            <w:r w:rsidR="00741880" w:rsidRPr="00741880">
              <w:rPr>
                <w:b/>
                <w:bCs/>
                <w:color w:val="FFFFFF" w:themeColor="background1"/>
                <w:sz w:val="18"/>
              </w:rPr>
              <w:t>.</w:t>
            </w:r>
            <w:r w:rsidR="00741880">
              <w:rPr>
                <w:b/>
                <w:bCs/>
                <w:color w:val="FFFFFF" w:themeColor="background1"/>
                <w:sz w:val="18"/>
              </w:rPr>
              <w:t xml:space="preserve"> </w:t>
            </w:r>
            <w:r w:rsidR="00741880" w:rsidRPr="00741880">
              <w:rPr>
                <w:b/>
                <w:bCs/>
                <w:color w:val="FFFFFF" w:themeColor="background1"/>
                <w:sz w:val="18"/>
              </w:rPr>
              <w:t>Administration for Adult</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741880" w:rsidRPr="005055DB" w:rsidRDefault="00F946F7" w:rsidP="008377CC">
            <w:pPr>
              <w:spacing w:after="200"/>
              <w:jc w:val="center"/>
            </w:pPr>
            <w:r>
              <w:t>IZ_</w:t>
            </w:r>
            <w:r w:rsidR="00712F0F">
              <w:t>2_1.1</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r>
      <w:tr w:rsidR="00741880" w:rsidRPr="005055DB" w:rsidTr="004B61C9">
        <w:trPr>
          <w:trHeight w:hRule="exact" w:val="432"/>
        </w:trPr>
        <w:tc>
          <w:tcPr>
            <w:tcW w:w="289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741880" w:rsidRPr="00741880" w:rsidRDefault="0065464B" w:rsidP="0065464B">
            <w:pPr>
              <w:spacing w:after="200"/>
              <w:rPr>
                <w:color w:val="FFFFFF" w:themeColor="background1"/>
                <w:sz w:val="18"/>
              </w:rPr>
            </w:pPr>
            <w:r>
              <w:rPr>
                <w:b/>
                <w:bCs/>
                <w:color w:val="FFFFFF" w:themeColor="background1"/>
                <w:sz w:val="18"/>
              </w:rPr>
              <w:t>3</w:t>
            </w:r>
            <w:r w:rsidR="00741880" w:rsidRPr="00741880">
              <w:rPr>
                <w:b/>
                <w:bCs/>
                <w:color w:val="FFFFFF" w:themeColor="background1"/>
                <w:sz w:val="18"/>
              </w:rPr>
              <w:t>.</w:t>
            </w:r>
            <w:r w:rsidR="00741880">
              <w:rPr>
                <w:b/>
                <w:bCs/>
                <w:color w:val="FFFFFF" w:themeColor="background1"/>
                <w:sz w:val="18"/>
              </w:rPr>
              <w:t xml:space="preserve"> </w:t>
            </w:r>
            <w:r w:rsidR="00741880" w:rsidRPr="00741880">
              <w:rPr>
                <w:b/>
                <w:bCs/>
                <w:color w:val="FFFFFF" w:themeColor="background1"/>
                <w:sz w:val="18"/>
              </w:rPr>
              <w:t>Historical for Child</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F946F7" w:rsidP="008377CC">
            <w:pPr>
              <w:spacing w:after="200"/>
              <w:jc w:val="center"/>
            </w:pPr>
            <w:r>
              <w:t>IZ_</w:t>
            </w:r>
            <w:r w:rsidR="00712F0F">
              <w:t>3_1.1</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r>
      <w:tr w:rsidR="00741880" w:rsidRPr="005055DB" w:rsidTr="004B61C9">
        <w:trPr>
          <w:trHeight w:hRule="exact" w:val="432"/>
        </w:trPr>
        <w:tc>
          <w:tcPr>
            <w:tcW w:w="289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741880" w:rsidRPr="00741880" w:rsidRDefault="0065464B" w:rsidP="00C50F6E">
            <w:pPr>
              <w:spacing w:after="200"/>
              <w:rPr>
                <w:color w:val="FFFFFF" w:themeColor="background1"/>
                <w:sz w:val="18"/>
              </w:rPr>
            </w:pPr>
            <w:r>
              <w:rPr>
                <w:b/>
                <w:bCs/>
                <w:color w:val="FFFFFF" w:themeColor="background1"/>
                <w:sz w:val="18"/>
              </w:rPr>
              <w:t>4</w:t>
            </w:r>
            <w:r w:rsidR="00741880" w:rsidRPr="00741880">
              <w:rPr>
                <w:b/>
                <w:bCs/>
                <w:color w:val="FFFFFF" w:themeColor="background1"/>
                <w:sz w:val="18"/>
              </w:rPr>
              <w:t>.</w:t>
            </w:r>
            <w:r w:rsidR="00741880">
              <w:rPr>
                <w:b/>
                <w:bCs/>
                <w:color w:val="FFFFFF" w:themeColor="background1"/>
                <w:sz w:val="18"/>
              </w:rPr>
              <w:t xml:space="preserve"> </w:t>
            </w:r>
            <w:r w:rsidRPr="00741880">
              <w:rPr>
                <w:b/>
                <w:bCs/>
                <w:color w:val="FFFFFF" w:themeColor="background1"/>
                <w:sz w:val="18"/>
              </w:rPr>
              <w:t>Consented Child</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741880" w:rsidRPr="005055DB" w:rsidRDefault="00F946F7" w:rsidP="008377CC">
            <w:pPr>
              <w:spacing w:after="200"/>
              <w:jc w:val="center"/>
            </w:pPr>
            <w:r>
              <w:t>IZ_</w:t>
            </w:r>
            <w:r w:rsidR="00712F0F">
              <w:t>4_1.1</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r>
      <w:tr w:rsidR="00741880" w:rsidRPr="005055DB" w:rsidTr="004B61C9">
        <w:trPr>
          <w:trHeight w:hRule="exact" w:val="432"/>
        </w:trPr>
        <w:tc>
          <w:tcPr>
            <w:tcW w:w="289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741880" w:rsidRPr="00741880" w:rsidRDefault="0065464B" w:rsidP="0065464B">
            <w:pPr>
              <w:spacing w:after="200"/>
              <w:rPr>
                <w:color w:val="FFFFFF" w:themeColor="background1"/>
                <w:sz w:val="18"/>
              </w:rPr>
            </w:pPr>
            <w:r>
              <w:rPr>
                <w:b/>
                <w:bCs/>
                <w:color w:val="FFFFFF" w:themeColor="background1"/>
                <w:sz w:val="18"/>
              </w:rPr>
              <w:t>5</w:t>
            </w:r>
            <w:r w:rsidR="00741880" w:rsidRPr="00741880">
              <w:rPr>
                <w:b/>
                <w:bCs/>
                <w:color w:val="FFFFFF" w:themeColor="background1"/>
                <w:sz w:val="18"/>
              </w:rPr>
              <w:t>.</w:t>
            </w:r>
            <w:r w:rsidR="00741880">
              <w:rPr>
                <w:b/>
                <w:bCs/>
                <w:color w:val="FFFFFF" w:themeColor="background1"/>
                <w:sz w:val="18"/>
              </w:rPr>
              <w:t xml:space="preserve"> </w:t>
            </w:r>
            <w:r w:rsidRPr="00741880">
              <w:rPr>
                <w:b/>
                <w:bCs/>
                <w:color w:val="FFFFFF" w:themeColor="background1"/>
                <w:sz w:val="18"/>
              </w:rPr>
              <w:t>Refused Toddler</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F946F7" w:rsidP="008377CC">
            <w:pPr>
              <w:spacing w:after="200"/>
              <w:jc w:val="center"/>
            </w:pPr>
            <w:r>
              <w:t>IZ_</w:t>
            </w:r>
            <w:r w:rsidR="00712F0F">
              <w:t>5_1.1</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r>
      <w:tr w:rsidR="00741880" w:rsidRPr="005055DB" w:rsidTr="004B61C9">
        <w:trPr>
          <w:trHeight w:hRule="exact" w:val="432"/>
        </w:trPr>
        <w:tc>
          <w:tcPr>
            <w:tcW w:w="289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741880" w:rsidRPr="00741880" w:rsidRDefault="0065464B" w:rsidP="0065464B">
            <w:pPr>
              <w:spacing w:after="200"/>
              <w:rPr>
                <w:color w:val="FFFFFF" w:themeColor="background1"/>
                <w:sz w:val="18"/>
              </w:rPr>
            </w:pPr>
            <w:r>
              <w:rPr>
                <w:b/>
                <w:bCs/>
                <w:color w:val="FFFFFF" w:themeColor="background1"/>
                <w:sz w:val="18"/>
              </w:rPr>
              <w:t>6</w:t>
            </w:r>
            <w:r w:rsidR="00741880" w:rsidRPr="00741880">
              <w:rPr>
                <w:b/>
                <w:bCs/>
                <w:color w:val="FFFFFF" w:themeColor="background1"/>
                <w:sz w:val="18"/>
              </w:rPr>
              <w:t>.</w:t>
            </w:r>
            <w:r w:rsidR="00741880">
              <w:rPr>
                <w:b/>
                <w:bCs/>
                <w:color w:val="FFFFFF" w:themeColor="background1"/>
                <w:sz w:val="18"/>
              </w:rPr>
              <w:t xml:space="preserve"> </w:t>
            </w:r>
            <w:r w:rsidRPr="00741880">
              <w:rPr>
                <w:b/>
                <w:bCs/>
                <w:color w:val="FFFFFF" w:themeColor="background1"/>
                <w:sz w:val="18"/>
              </w:rPr>
              <w:t>Varicella History Child</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741880" w:rsidRPr="005055DB" w:rsidRDefault="00F946F7" w:rsidP="008377CC">
            <w:pPr>
              <w:spacing w:after="200"/>
              <w:jc w:val="center"/>
            </w:pPr>
            <w:r>
              <w:t>IZ_</w:t>
            </w:r>
            <w:r w:rsidR="00712F0F">
              <w:t>6_1.1</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r>
      <w:tr w:rsidR="00741880" w:rsidRPr="005055DB" w:rsidTr="004B61C9">
        <w:trPr>
          <w:trHeight w:hRule="exact" w:val="432"/>
        </w:trPr>
        <w:tc>
          <w:tcPr>
            <w:tcW w:w="289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741880" w:rsidRPr="0065464B" w:rsidRDefault="0065464B" w:rsidP="0065464B">
            <w:pPr>
              <w:spacing w:after="200"/>
              <w:jc w:val="both"/>
              <w:rPr>
                <w:b/>
                <w:color w:val="FFFFFF" w:themeColor="background1"/>
                <w:sz w:val="18"/>
              </w:rPr>
            </w:pPr>
            <w:r w:rsidRPr="0065464B">
              <w:rPr>
                <w:b/>
                <w:color w:val="FFFFFF" w:themeColor="background1"/>
                <w:sz w:val="18"/>
              </w:rPr>
              <w:t>7.Complete Record</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F946F7" w:rsidP="008377CC">
            <w:pPr>
              <w:spacing w:after="200"/>
              <w:jc w:val="center"/>
            </w:pPr>
            <w:r>
              <w:t>IZ_</w:t>
            </w:r>
            <w:r w:rsidR="00712F0F">
              <w:t>7_1.1</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741880" w:rsidRPr="005055DB" w:rsidRDefault="00D3455E" w:rsidP="008377CC">
            <w:pPr>
              <w:spacing w:after="200"/>
              <w:jc w:val="center"/>
            </w:pPr>
            <w:r>
              <w:t>To be added</w:t>
            </w:r>
          </w:p>
        </w:tc>
      </w:tr>
    </w:tbl>
    <w:p w:rsidR="00034D0C" w:rsidRPr="00AB458F" w:rsidRDefault="00034D0C" w:rsidP="00AB458F">
      <w:pPr>
        <w:spacing w:line="300" w:lineRule="atLeast"/>
        <w:rPr>
          <w:rFonts w:cs="Arial"/>
        </w:rPr>
      </w:pPr>
    </w:p>
    <w:p w:rsidR="00034D0C" w:rsidRPr="00AB458F" w:rsidRDefault="003E253A" w:rsidP="00AB458F">
      <w:pPr>
        <w:pStyle w:val="Heading3"/>
        <w:numPr>
          <w:ilvl w:val="0"/>
          <w:numId w:val="0"/>
        </w:numPr>
        <w:spacing w:after="0" w:line="300" w:lineRule="atLeast"/>
        <w:ind w:left="720" w:hanging="720"/>
        <w:rPr>
          <w:rFonts w:ascii="Arial" w:hAnsi="Arial"/>
          <w:sz w:val="20"/>
        </w:rPr>
      </w:pPr>
      <w:r>
        <w:rPr>
          <w:rFonts w:ascii="Arial" w:hAnsi="Arial"/>
          <w:sz w:val="20"/>
        </w:rPr>
        <w:t>Navigating</w:t>
      </w:r>
      <w:r w:rsidR="00034D0C" w:rsidRPr="00AB458F">
        <w:rPr>
          <w:rFonts w:ascii="Arial" w:hAnsi="Arial"/>
          <w:sz w:val="20"/>
        </w:rPr>
        <w:t xml:space="preserve"> a Test Case</w:t>
      </w:r>
    </w:p>
    <w:p w:rsidR="00034D0C" w:rsidRPr="00AB458F" w:rsidRDefault="00034D0C" w:rsidP="00AB458F">
      <w:pPr>
        <w:spacing w:line="300" w:lineRule="atLeast"/>
        <w:rPr>
          <w:rFonts w:cs="Arial"/>
        </w:rPr>
      </w:pPr>
    </w:p>
    <w:p w:rsidR="008F37EB" w:rsidRPr="00AB458F" w:rsidRDefault="00034D0C" w:rsidP="00AB458F">
      <w:pPr>
        <w:spacing w:line="300" w:lineRule="atLeast"/>
        <w:rPr>
          <w:rFonts w:cs="Arial"/>
        </w:rPr>
      </w:pPr>
      <w:r w:rsidRPr="00AB458F">
        <w:rPr>
          <w:rFonts w:cs="Arial"/>
        </w:rPr>
        <w:t>A test case consists of a test story and a test data specification. The test story gives a real world scenario</w:t>
      </w:r>
      <w:r w:rsidR="00222C10" w:rsidRPr="00AB458F">
        <w:rPr>
          <w:rFonts w:cs="Arial"/>
        </w:rPr>
        <w:t xml:space="preserve"> that provides the context </w:t>
      </w:r>
      <w:r w:rsidR="003D2755" w:rsidRPr="00AB458F">
        <w:rPr>
          <w:rFonts w:cs="Arial"/>
        </w:rPr>
        <w:t>for the test case</w:t>
      </w:r>
      <w:r w:rsidR="00222C10" w:rsidRPr="00AB458F">
        <w:rPr>
          <w:rFonts w:cs="Arial"/>
        </w:rPr>
        <w:t xml:space="preserve">. The test data specification provides </w:t>
      </w:r>
      <w:r w:rsidR="00745214" w:rsidRPr="00AB458F">
        <w:rPr>
          <w:rFonts w:cs="Arial"/>
        </w:rPr>
        <w:t>the</w:t>
      </w:r>
      <w:r w:rsidR="002004B6" w:rsidRPr="00AB458F">
        <w:rPr>
          <w:rFonts w:cs="Arial"/>
        </w:rPr>
        <w:t xml:space="preserve"> data associated with the test story and </w:t>
      </w:r>
      <w:r w:rsidR="003D2755" w:rsidRPr="00AB458F">
        <w:rPr>
          <w:rFonts w:cs="Arial"/>
        </w:rPr>
        <w:t xml:space="preserve">is what is </w:t>
      </w:r>
      <w:r w:rsidR="002004B6" w:rsidRPr="00AB458F">
        <w:rPr>
          <w:rFonts w:cs="Arial"/>
        </w:rPr>
        <w:t>ty</w:t>
      </w:r>
      <w:r w:rsidR="00745214" w:rsidRPr="00AB458F">
        <w:rPr>
          <w:rFonts w:cs="Arial"/>
        </w:rPr>
        <w:t>pically available in the clinical setting</w:t>
      </w:r>
      <w:r w:rsidR="002004B6" w:rsidRPr="00AB458F">
        <w:rPr>
          <w:rFonts w:cs="Arial"/>
        </w:rPr>
        <w:t>. Together the test story and the test data specification provide sufficient information that</w:t>
      </w:r>
      <w:r w:rsidR="003D2755" w:rsidRPr="00AB458F">
        <w:rPr>
          <w:rFonts w:cs="Arial"/>
        </w:rPr>
        <w:t xml:space="preserve"> </w:t>
      </w:r>
      <w:r w:rsidR="00511F97">
        <w:rPr>
          <w:rFonts w:cs="Arial"/>
        </w:rPr>
        <w:t>is to</w:t>
      </w:r>
      <w:r w:rsidR="003D2755" w:rsidRPr="00AB458F">
        <w:rPr>
          <w:rFonts w:cs="Arial"/>
        </w:rPr>
        <w:t xml:space="preserve"> be entered into the EHR </w:t>
      </w:r>
      <w:r w:rsidR="001024A9">
        <w:rPr>
          <w:rFonts w:cs="Arial"/>
        </w:rPr>
        <w:t>for a particular test case. Using this data and the EHR functionally a message is to be generated.</w:t>
      </w:r>
    </w:p>
    <w:p w:rsidR="008F37EB" w:rsidRPr="00AB458F" w:rsidRDefault="008F37EB" w:rsidP="00AB458F">
      <w:pPr>
        <w:spacing w:line="300" w:lineRule="atLeast"/>
        <w:rPr>
          <w:rFonts w:cs="Arial"/>
        </w:rPr>
      </w:pPr>
    </w:p>
    <w:p w:rsidR="00745214" w:rsidRPr="00AB458F" w:rsidRDefault="00F021C5" w:rsidP="00AB458F">
      <w:pPr>
        <w:spacing w:line="300" w:lineRule="atLeast"/>
        <w:rPr>
          <w:rFonts w:cs="Arial"/>
        </w:rPr>
      </w:pPr>
      <w:r w:rsidRPr="00AB458F">
        <w:rPr>
          <w:rFonts w:cs="Arial"/>
        </w:rPr>
        <w:t xml:space="preserve">Another artifact called the message content </w:t>
      </w:r>
      <w:r w:rsidR="00511F97">
        <w:rPr>
          <w:rFonts w:cs="Arial"/>
        </w:rPr>
        <w:t xml:space="preserve">data sheet </w:t>
      </w:r>
      <w:r w:rsidRPr="00AB458F">
        <w:rPr>
          <w:rFonts w:cs="Arial"/>
        </w:rPr>
        <w:t xml:space="preserve">is provided that shows a conformant message instance for the test case. The message content is organized in a </w:t>
      </w:r>
      <w:r w:rsidR="008F37EB" w:rsidRPr="00AB458F">
        <w:rPr>
          <w:rFonts w:cs="Arial"/>
        </w:rPr>
        <w:t>table format that provides the HL7 V2 message elements and the data associated with the message elements for a given test case. If necessary the message content may be used to help the vendor select the correct option provided by the EHR technology.</w:t>
      </w:r>
      <w:r w:rsidR="003E253A">
        <w:rPr>
          <w:rFonts w:cs="Arial"/>
        </w:rPr>
        <w:t xml:space="preserve"> It may also </w:t>
      </w:r>
      <w:r w:rsidR="00C34292">
        <w:rPr>
          <w:rFonts w:cs="Arial"/>
        </w:rPr>
        <w:t>be used to provide assistant to the Tester and Vendor to resolve issues discovered in conformance testing. In short, the message content data sheet can be thought of as the “answer” to the scenario (“question”) provided by the test story and the test data specification.</w:t>
      </w:r>
    </w:p>
    <w:p w:rsidR="00A27B0D" w:rsidRPr="00AB458F" w:rsidRDefault="00A27B0D" w:rsidP="00AB458F">
      <w:pPr>
        <w:spacing w:line="300" w:lineRule="atLeast"/>
        <w:rPr>
          <w:rFonts w:cs="Arial"/>
        </w:rPr>
      </w:pPr>
    </w:p>
    <w:p w:rsidR="00A27B0D" w:rsidRDefault="00A27B0D" w:rsidP="00741880">
      <w:pPr>
        <w:pStyle w:val="Heading3"/>
        <w:numPr>
          <w:ilvl w:val="0"/>
          <w:numId w:val="0"/>
        </w:numPr>
        <w:tabs>
          <w:tab w:val="left" w:pos="720"/>
        </w:tabs>
        <w:spacing w:after="0" w:line="300" w:lineRule="atLeast"/>
        <w:ind w:left="720" w:hanging="720"/>
        <w:rPr>
          <w:rFonts w:ascii="Arial" w:hAnsi="Arial"/>
          <w:sz w:val="20"/>
          <w:szCs w:val="20"/>
        </w:rPr>
      </w:pPr>
      <w:bookmarkStart w:id="1" w:name="_Toc322703958"/>
      <w:r w:rsidRPr="00AB458F">
        <w:rPr>
          <w:rFonts w:ascii="Arial" w:hAnsi="Arial"/>
          <w:sz w:val="20"/>
          <w:szCs w:val="20"/>
        </w:rPr>
        <w:t xml:space="preserve">How to Interpret the </w:t>
      </w:r>
      <w:bookmarkEnd w:id="1"/>
      <w:r w:rsidRPr="00AB458F">
        <w:rPr>
          <w:rFonts w:ascii="Arial" w:hAnsi="Arial"/>
          <w:sz w:val="20"/>
          <w:szCs w:val="20"/>
        </w:rPr>
        <w:t>Message Content Data Sheet</w:t>
      </w:r>
    </w:p>
    <w:p w:rsidR="00AB458F" w:rsidRPr="00AB458F" w:rsidRDefault="00AB458F" w:rsidP="00741880">
      <w:pPr>
        <w:spacing w:line="300" w:lineRule="atLeast"/>
      </w:pPr>
    </w:p>
    <w:p w:rsidR="00A27B0D" w:rsidRPr="00AB458F" w:rsidRDefault="00A27B0D" w:rsidP="00741880">
      <w:pPr>
        <w:autoSpaceDE w:val="0"/>
        <w:autoSpaceDN w:val="0"/>
        <w:spacing w:line="300" w:lineRule="atLeast"/>
        <w:jc w:val="both"/>
        <w:rPr>
          <w:rFonts w:eastAsiaTheme="minorHAnsi" w:cs="Arial"/>
        </w:rPr>
      </w:pPr>
      <w:r w:rsidRPr="00AB458F">
        <w:rPr>
          <w:rFonts w:cs="Arial"/>
        </w:rPr>
        <w:t xml:space="preserve">The </w:t>
      </w:r>
      <w:r w:rsidR="001024A9">
        <w:rPr>
          <w:rFonts w:cs="Arial"/>
        </w:rPr>
        <w:t xml:space="preserve">message content </w:t>
      </w:r>
      <w:r w:rsidRPr="00AB458F">
        <w:rPr>
          <w:rFonts w:cs="Arial"/>
        </w:rPr>
        <w:t xml:space="preserve">data sheet indicates the </w:t>
      </w:r>
      <w:r w:rsidR="006A1906">
        <w:rPr>
          <w:rFonts w:cs="Arial"/>
        </w:rPr>
        <w:t xml:space="preserve">location and </w:t>
      </w:r>
      <w:r w:rsidRPr="00AB458F">
        <w:rPr>
          <w:rFonts w:cs="Arial"/>
        </w:rPr>
        <w:t>data</w:t>
      </w:r>
      <w:r w:rsidR="006A1906">
        <w:rPr>
          <w:rFonts w:cs="Arial"/>
        </w:rPr>
        <w:t xml:space="preserve"> of the message for a particular test case.</w:t>
      </w:r>
      <w:r w:rsidRPr="00AB458F">
        <w:rPr>
          <w:rFonts w:cs="Arial"/>
        </w:rPr>
        <w:t xml:space="preserve"> </w:t>
      </w:r>
      <w:r w:rsidR="006A1906">
        <w:rPr>
          <w:rFonts w:cs="Arial"/>
        </w:rPr>
        <w:t>The message content data sheet can be used to assist</w:t>
      </w:r>
      <w:r w:rsidR="00265333">
        <w:rPr>
          <w:rFonts w:cs="Arial"/>
        </w:rPr>
        <w:t xml:space="preserve"> the Tester</w:t>
      </w:r>
      <w:r w:rsidR="006A1906">
        <w:rPr>
          <w:rFonts w:cs="Arial"/>
        </w:rPr>
        <w:t xml:space="preserve"> in loading the EHR with the test case </w:t>
      </w:r>
      <w:r w:rsidR="006A1906">
        <w:rPr>
          <w:rFonts w:cs="Arial"/>
        </w:rPr>
        <w:lastRenderedPageBreak/>
        <w:t xml:space="preserve">data and provides a classification of the data. This classification indicates the </w:t>
      </w:r>
      <w:r w:rsidR="00265333">
        <w:rPr>
          <w:rFonts w:cs="Arial"/>
        </w:rPr>
        <w:t xml:space="preserve">type and the expected source of the data. How the data is classified is directly related to how the message content is validated. In some cases the validator is examining the message element for the presence of data where as in other cases it is examining the message element for </w:t>
      </w:r>
      <w:r w:rsidR="008D5484">
        <w:rPr>
          <w:rFonts w:cs="Arial"/>
        </w:rPr>
        <w:t xml:space="preserve">the presence of data and for </w:t>
      </w:r>
      <w:r w:rsidR="00265333">
        <w:rPr>
          <w:rFonts w:cs="Arial"/>
        </w:rPr>
        <w:t>exact content.</w:t>
      </w:r>
    </w:p>
    <w:p w:rsidR="00A27B0D" w:rsidRPr="00AB458F" w:rsidRDefault="00A27B0D" w:rsidP="00741880">
      <w:pPr>
        <w:spacing w:line="300" w:lineRule="atLeast"/>
        <w:jc w:val="both"/>
        <w:rPr>
          <w:rFonts w:cs="Arial"/>
        </w:rPr>
      </w:pPr>
    </w:p>
    <w:p w:rsidR="00A27B0D" w:rsidRPr="00AB458F" w:rsidRDefault="00A27B0D" w:rsidP="00741880">
      <w:pPr>
        <w:autoSpaceDE w:val="0"/>
        <w:autoSpaceDN w:val="0"/>
        <w:spacing w:line="300" w:lineRule="atLeast"/>
        <w:jc w:val="both"/>
        <w:rPr>
          <w:rFonts w:cs="Arial"/>
        </w:rPr>
      </w:pPr>
      <w:r w:rsidRPr="00AB458F">
        <w:rPr>
          <w:rFonts w:cs="Arial"/>
        </w:rPr>
        <w:t xml:space="preserve">The information in the </w:t>
      </w:r>
      <w:r w:rsidRPr="00AB458F">
        <w:rPr>
          <w:rFonts w:cs="Arial"/>
          <w:b/>
          <w:bCs/>
          <w:i/>
          <w:iCs/>
        </w:rPr>
        <w:t xml:space="preserve">Location </w:t>
      </w:r>
      <w:r w:rsidRPr="00AB458F">
        <w:rPr>
          <w:rFonts w:cs="Arial"/>
        </w:rPr>
        <w:t xml:space="preserve">column indicates the canonical element location in the HL7 V2 message.  For example, MSH-9.3 represents the 3rd component in the 9th field of the MSH segment. The </w:t>
      </w:r>
      <w:r w:rsidRPr="00AB458F">
        <w:rPr>
          <w:rFonts w:cs="Arial"/>
          <w:b/>
          <w:bCs/>
          <w:i/>
          <w:iCs/>
        </w:rPr>
        <w:t>Data Element</w:t>
      </w:r>
      <w:r w:rsidRPr="00AB458F">
        <w:rPr>
          <w:rFonts w:cs="Arial"/>
        </w:rPr>
        <w:t xml:space="preserve"> column indicates the name of the data element as specified by the </w:t>
      </w:r>
      <w:r w:rsidR="00EC11F9" w:rsidRPr="00B85E6B">
        <w:rPr>
          <w:rFonts w:cs="Arial"/>
          <w:color w:val="000000"/>
        </w:rPr>
        <w:t>HL7 2.5.1 Implementation Guide for Immunization Messaging, Release 1.4</w:t>
      </w:r>
      <w:r w:rsidRPr="00AB458F">
        <w:rPr>
          <w:rFonts w:cs="Arial"/>
        </w:rPr>
        <w:t xml:space="preserve">.   </w:t>
      </w:r>
    </w:p>
    <w:p w:rsidR="00A27B0D" w:rsidRPr="00AB458F" w:rsidRDefault="00A27B0D" w:rsidP="00741880">
      <w:pPr>
        <w:spacing w:line="300" w:lineRule="atLeast"/>
        <w:jc w:val="both"/>
        <w:rPr>
          <w:rFonts w:cs="Arial"/>
        </w:rPr>
      </w:pPr>
    </w:p>
    <w:p w:rsidR="00A27B0D" w:rsidRPr="00AB458F" w:rsidRDefault="00A27B0D" w:rsidP="00741880">
      <w:pPr>
        <w:spacing w:line="300" w:lineRule="atLeast"/>
        <w:jc w:val="both"/>
        <w:rPr>
          <w:rFonts w:cs="Arial"/>
        </w:rPr>
      </w:pPr>
      <w:r w:rsidRPr="00AB458F">
        <w:rPr>
          <w:rFonts w:cs="Arial"/>
        </w:rPr>
        <w:t xml:space="preserve">The </w:t>
      </w:r>
      <w:r w:rsidRPr="00AB458F">
        <w:rPr>
          <w:rFonts w:cs="Arial"/>
          <w:b/>
          <w:bCs/>
          <w:i/>
          <w:iCs/>
        </w:rPr>
        <w:t>Test Data</w:t>
      </w:r>
      <w:r w:rsidRPr="00AB458F">
        <w:rPr>
          <w:rFonts w:cs="Arial"/>
        </w:rPr>
        <w:t xml:space="preserve"> column provides the </w:t>
      </w:r>
      <w:r w:rsidR="00EC11F9">
        <w:rPr>
          <w:rFonts w:cs="Arial"/>
        </w:rPr>
        <w:t xml:space="preserve">expected </w:t>
      </w:r>
      <w:r w:rsidRPr="00AB458F">
        <w:rPr>
          <w:rFonts w:cs="Arial"/>
        </w:rPr>
        <w:t>data (if applicable)</w:t>
      </w:r>
      <w:r w:rsidR="00EC11F9">
        <w:rPr>
          <w:rFonts w:cs="Arial"/>
        </w:rPr>
        <w:t xml:space="preserve"> for that message element</w:t>
      </w:r>
      <w:r w:rsidRPr="00AB458F">
        <w:rPr>
          <w:rFonts w:cs="Arial"/>
        </w:rPr>
        <w:t xml:space="preserve">. The </w:t>
      </w:r>
      <w:r w:rsidRPr="00AB458F">
        <w:rPr>
          <w:rFonts w:cs="Arial"/>
          <w:b/>
          <w:bCs/>
          <w:i/>
          <w:iCs/>
        </w:rPr>
        <w:t>Data C</w:t>
      </w:r>
      <w:r w:rsidR="008377CC">
        <w:rPr>
          <w:rFonts w:cs="Arial"/>
          <w:b/>
          <w:bCs/>
          <w:i/>
          <w:iCs/>
        </w:rPr>
        <w:t>lassification</w:t>
      </w:r>
      <w:r w:rsidRPr="00AB458F">
        <w:rPr>
          <w:rFonts w:cs="Arial"/>
        </w:rPr>
        <w:t xml:space="preserve"> column indicates the </w:t>
      </w:r>
      <w:r w:rsidR="00EC11F9">
        <w:rPr>
          <w:rFonts w:cs="Arial"/>
        </w:rPr>
        <w:t xml:space="preserve">classification </w:t>
      </w:r>
      <w:r w:rsidRPr="00AB458F">
        <w:rPr>
          <w:rFonts w:cs="Arial"/>
        </w:rPr>
        <w:t xml:space="preserve">of the data. See the table below for a description of </w:t>
      </w:r>
      <w:r w:rsidR="00EC11F9">
        <w:rPr>
          <w:rFonts w:cs="Arial"/>
        </w:rPr>
        <w:t>the data classification</w:t>
      </w:r>
      <w:r w:rsidR="0044627A">
        <w:rPr>
          <w:rFonts w:cs="Arial"/>
        </w:rPr>
        <w:t xml:space="preserve"> and how it is being validated</w:t>
      </w:r>
      <w:r w:rsidRPr="00AB458F">
        <w:rPr>
          <w:rFonts w:cs="Arial"/>
        </w:rPr>
        <w:t xml:space="preserve">. </w:t>
      </w:r>
    </w:p>
    <w:p w:rsidR="00A27B0D" w:rsidRPr="00AB458F" w:rsidRDefault="00A27B0D" w:rsidP="00741880">
      <w:pPr>
        <w:spacing w:line="300" w:lineRule="atLeast"/>
        <w:jc w:val="both"/>
        <w:rPr>
          <w:rFonts w:cs="Arial"/>
        </w:rPr>
      </w:pPr>
    </w:p>
    <w:p w:rsidR="009C3BBD" w:rsidRPr="00E40745" w:rsidRDefault="009C3BBD" w:rsidP="009C3BBD">
      <w:pPr>
        <w:spacing w:line="300" w:lineRule="atLeast"/>
        <w:rPr>
          <w:rFonts w:cs="Arial"/>
          <w:b/>
        </w:rPr>
      </w:pPr>
      <w:r>
        <w:rPr>
          <w:rFonts w:cs="Arial"/>
          <w:b/>
        </w:rPr>
        <w:t>Figure 3</w:t>
      </w:r>
    </w:p>
    <w:p w:rsidR="00A27B0D" w:rsidRDefault="00A27B0D" w:rsidP="00741880">
      <w:pPr>
        <w:spacing w:line="300" w:lineRule="atLeast"/>
        <w:jc w:val="both"/>
      </w:pPr>
    </w:p>
    <w:tbl>
      <w:tblPr>
        <w:tblW w:w="0" w:type="auto"/>
        <w:tblCellMar>
          <w:left w:w="0" w:type="dxa"/>
          <w:right w:w="0" w:type="dxa"/>
        </w:tblCellMar>
        <w:tblLook w:val="04A0"/>
      </w:tblPr>
      <w:tblGrid>
        <w:gridCol w:w="2268"/>
        <w:gridCol w:w="4144"/>
        <w:gridCol w:w="3066"/>
      </w:tblGrid>
      <w:tr w:rsidR="00552D9F" w:rsidTr="004B61C9">
        <w:tc>
          <w:tcPr>
            <w:tcW w:w="2268"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b/>
                <w:bCs/>
                <w:color w:val="FFFFFF"/>
                <w:sz w:val="22"/>
                <w:szCs w:val="22"/>
              </w:rPr>
            </w:pPr>
            <w:r>
              <w:rPr>
                <w:b/>
                <w:bCs/>
                <w:color w:val="FFFFFF"/>
              </w:rPr>
              <w:t>Data Classification</w:t>
            </w:r>
          </w:p>
        </w:tc>
        <w:tc>
          <w:tcPr>
            <w:tcW w:w="4144"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b/>
                <w:bCs/>
                <w:color w:val="FFFFFF"/>
                <w:sz w:val="22"/>
                <w:szCs w:val="22"/>
              </w:rPr>
            </w:pPr>
            <w:r>
              <w:rPr>
                <w:b/>
                <w:bCs/>
                <w:color w:val="FFFFFF"/>
              </w:rPr>
              <w:t>Description</w:t>
            </w:r>
          </w:p>
        </w:tc>
        <w:tc>
          <w:tcPr>
            <w:tcW w:w="3066" w:type="dxa"/>
            <w:tcBorders>
              <w:top w:val="single" w:sz="8" w:space="0" w:color="auto"/>
              <w:left w:val="nil"/>
              <w:bottom w:val="single" w:sz="8" w:space="0" w:color="auto"/>
              <w:right w:val="single" w:sz="8" w:space="0" w:color="auto"/>
            </w:tcBorders>
            <w:shd w:val="clear" w:color="auto" w:fill="4F81BD"/>
          </w:tcPr>
          <w:p w:rsidR="00552D9F" w:rsidRDefault="00552D9F" w:rsidP="00741880">
            <w:pPr>
              <w:spacing w:line="300" w:lineRule="atLeast"/>
              <w:jc w:val="both"/>
              <w:rPr>
                <w:b/>
                <w:bCs/>
                <w:color w:val="FFFFFF"/>
              </w:rPr>
            </w:pPr>
            <w:r>
              <w:rPr>
                <w:b/>
                <w:bCs/>
                <w:color w:val="FFFFFF"/>
              </w:rPr>
              <w:t>Validation</w:t>
            </w:r>
          </w:p>
        </w:tc>
      </w:tr>
      <w:tr w:rsidR="00552D9F" w:rsidTr="004B61C9">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D9F" w:rsidRDefault="00552D9F" w:rsidP="00741880">
            <w:pPr>
              <w:spacing w:line="300" w:lineRule="atLeast"/>
              <w:rPr>
                <w:rFonts w:ascii="Calibri" w:eastAsiaTheme="minorHAnsi" w:hAnsi="Calibri" w:cs="Calibri"/>
                <w:b/>
                <w:bCs/>
                <w:sz w:val="22"/>
                <w:szCs w:val="22"/>
              </w:rPr>
            </w:pPr>
            <w:r>
              <w:rPr>
                <w:b/>
                <w:bCs/>
              </w:rPr>
              <w:t>Configurable</w:t>
            </w:r>
          </w:p>
        </w:tc>
        <w:tc>
          <w:tcPr>
            <w:tcW w:w="4144" w:type="dxa"/>
            <w:tcBorders>
              <w:top w:val="nil"/>
              <w:left w:val="nil"/>
              <w:bottom w:val="single" w:sz="8" w:space="0" w:color="auto"/>
              <w:right w:val="single" w:sz="8" w:space="0" w:color="auto"/>
            </w:tcBorders>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sz w:val="22"/>
                <w:szCs w:val="22"/>
              </w:rPr>
            </w:pPr>
            <w:r>
              <w:t>Data typically that is configured by the system (customer-definable)</w:t>
            </w:r>
            <w:r w:rsidR="009205D0">
              <w:t>. Example data is provided.</w:t>
            </w:r>
          </w:p>
        </w:tc>
        <w:tc>
          <w:tcPr>
            <w:tcW w:w="3066" w:type="dxa"/>
            <w:tcBorders>
              <w:top w:val="nil"/>
              <w:left w:val="nil"/>
              <w:bottom w:val="single" w:sz="8" w:space="0" w:color="auto"/>
              <w:right w:val="single" w:sz="8" w:space="0" w:color="auto"/>
            </w:tcBorders>
          </w:tcPr>
          <w:p w:rsidR="00552D9F" w:rsidRDefault="00552D9F" w:rsidP="00741880">
            <w:pPr>
              <w:spacing w:line="300" w:lineRule="atLeast"/>
              <w:jc w:val="both"/>
            </w:pPr>
            <w:r>
              <w:t>Validate for the presence of data</w:t>
            </w:r>
          </w:p>
        </w:tc>
      </w:tr>
      <w:tr w:rsidR="00552D9F" w:rsidTr="004B61C9">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b/>
                <w:bCs/>
                <w:sz w:val="22"/>
                <w:szCs w:val="22"/>
              </w:rPr>
            </w:pPr>
            <w:r>
              <w:rPr>
                <w:b/>
                <w:bCs/>
              </w:rPr>
              <w:t xml:space="preserve">System Generated </w:t>
            </w:r>
          </w:p>
        </w:tc>
        <w:tc>
          <w:tcPr>
            <w:tcW w:w="4144" w:type="dxa"/>
            <w:tcBorders>
              <w:top w:val="nil"/>
              <w:left w:val="nil"/>
              <w:bottom w:val="single" w:sz="8" w:space="0" w:color="auto"/>
              <w:right w:val="single" w:sz="8" w:space="0" w:color="auto"/>
            </w:tcBorders>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sz w:val="22"/>
                <w:szCs w:val="22"/>
              </w:rPr>
            </w:pPr>
            <w:r>
              <w:t>Data typically generated automatically by system, e.g., message time</w:t>
            </w:r>
            <w:r w:rsidR="009205D0">
              <w:t>. Example data is provided.</w:t>
            </w:r>
          </w:p>
        </w:tc>
        <w:tc>
          <w:tcPr>
            <w:tcW w:w="3066" w:type="dxa"/>
            <w:tcBorders>
              <w:top w:val="nil"/>
              <w:left w:val="nil"/>
              <w:bottom w:val="single" w:sz="8" w:space="0" w:color="auto"/>
              <w:right w:val="single" w:sz="8" w:space="0" w:color="auto"/>
            </w:tcBorders>
          </w:tcPr>
          <w:p w:rsidR="00552D9F" w:rsidRDefault="00552D9F" w:rsidP="00741880">
            <w:pPr>
              <w:spacing w:line="300" w:lineRule="atLeast"/>
              <w:jc w:val="both"/>
            </w:pPr>
            <w:r>
              <w:t>Validate for the presence of data</w:t>
            </w:r>
          </w:p>
        </w:tc>
      </w:tr>
      <w:tr w:rsidR="00552D9F" w:rsidTr="004B61C9">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b/>
                <w:bCs/>
                <w:sz w:val="22"/>
                <w:szCs w:val="22"/>
              </w:rPr>
            </w:pPr>
            <w:r>
              <w:rPr>
                <w:b/>
                <w:bCs/>
              </w:rPr>
              <w:t>IG Fixed</w:t>
            </w:r>
          </w:p>
        </w:tc>
        <w:tc>
          <w:tcPr>
            <w:tcW w:w="4144" w:type="dxa"/>
            <w:tcBorders>
              <w:top w:val="nil"/>
              <w:left w:val="nil"/>
              <w:bottom w:val="single" w:sz="8" w:space="0" w:color="auto"/>
              <w:right w:val="single" w:sz="8" w:space="0" w:color="auto"/>
            </w:tcBorders>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sz w:val="22"/>
                <w:szCs w:val="22"/>
              </w:rPr>
            </w:pPr>
            <w:r>
              <w:t>Data that is fixed by the implementation guide; data can’t be changed</w:t>
            </w:r>
            <w:r w:rsidR="00165ED2">
              <w:t>. Specific data is provided.</w:t>
            </w:r>
          </w:p>
        </w:tc>
        <w:tc>
          <w:tcPr>
            <w:tcW w:w="3066" w:type="dxa"/>
            <w:tcBorders>
              <w:top w:val="nil"/>
              <w:left w:val="nil"/>
              <w:bottom w:val="single" w:sz="8" w:space="0" w:color="auto"/>
              <w:right w:val="single" w:sz="8" w:space="0" w:color="auto"/>
            </w:tcBorders>
          </w:tcPr>
          <w:p w:rsidR="00552D9F" w:rsidRDefault="00552D9F" w:rsidP="00741880">
            <w:pPr>
              <w:spacing w:line="300" w:lineRule="atLeast"/>
              <w:jc w:val="both"/>
            </w:pPr>
            <w:r>
              <w:t xml:space="preserve">Validate for the </w:t>
            </w:r>
            <w:r w:rsidR="00165ED2">
              <w:t xml:space="preserve">presence and </w:t>
            </w:r>
            <w:r>
              <w:t>data content</w:t>
            </w:r>
          </w:p>
        </w:tc>
      </w:tr>
      <w:tr w:rsidR="00552D9F" w:rsidTr="004B61C9">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b/>
                <w:bCs/>
                <w:sz w:val="22"/>
                <w:szCs w:val="22"/>
              </w:rPr>
            </w:pPr>
            <w:r>
              <w:rPr>
                <w:b/>
                <w:bCs/>
              </w:rPr>
              <w:t>Test Case Fixed</w:t>
            </w:r>
          </w:p>
        </w:tc>
        <w:tc>
          <w:tcPr>
            <w:tcW w:w="4144" w:type="dxa"/>
            <w:tcBorders>
              <w:top w:val="nil"/>
              <w:left w:val="nil"/>
              <w:bottom w:val="single" w:sz="8" w:space="0" w:color="auto"/>
              <w:right w:val="single" w:sz="8" w:space="0" w:color="auto"/>
            </w:tcBorders>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sz w:val="22"/>
                <w:szCs w:val="22"/>
              </w:rPr>
            </w:pPr>
            <w:r>
              <w:t>Data that is specific and fixed by the test case; data can’t be changed</w:t>
            </w:r>
            <w:r w:rsidR="00165ED2">
              <w:t>. Specific data is provided.</w:t>
            </w:r>
          </w:p>
        </w:tc>
        <w:tc>
          <w:tcPr>
            <w:tcW w:w="3066" w:type="dxa"/>
            <w:tcBorders>
              <w:top w:val="nil"/>
              <w:left w:val="nil"/>
              <w:bottom w:val="single" w:sz="8" w:space="0" w:color="auto"/>
              <w:right w:val="single" w:sz="8" w:space="0" w:color="auto"/>
            </w:tcBorders>
          </w:tcPr>
          <w:p w:rsidR="00552D9F" w:rsidRDefault="00552D9F" w:rsidP="00741880">
            <w:pPr>
              <w:spacing w:line="300" w:lineRule="atLeast"/>
              <w:jc w:val="both"/>
            </w:pPr>
            <w:r>
              <w:t xml:space="preserve">Validate for the </w:t>
            </w:r>
            <w:r w:rsidR="00165ED2">
              <w:t xml:space="preserve">presence and </w:t>
            </w:r>
            <w:r>
              <w:t>data content</w:t>
            </w:r>
          </w:p>
        </w:tc>
      </w:tr>
      <w:tr w:rsidR="00552D9F" w:rsidTr="004B61C9">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b/>
                <w:bCs/>
                <w:sz w:val="22"/>
                <w:szCs w:val="22"/>
              </w:rPr>
            </w:pPr>
            <w:r>
              <w:rPr>
                <w:b/>
                <w:bCs/>
              </w:rPr>
              <w:t xml:space="preserve">Changeable </w:t>
            </w:r>
          </w:p>
        </w:tc>
        <w:tc>
          <w:tcPr>
            <w:tcW w:w="4144" w:type="dxa"/>
            <w:tcBorders>
              <w:top w:val="nil"/>
              <w:left w:val="nil"/>
              <w:bottom w:val="single" w:sz="8" w:space="0" w:color="auto"/>
              <w:right w:val="single" w:sz="8" w:space="0" w:color="auto"/>
            </w:tcBorders>
            <w:tcMar>
              <w:top w:w="0" w:type="dxa"/>
              <w:left w:w="108" w:type="dxa"/>
              <w:bottom w:w="0" w:type="dxa"/>
              <w:right w:w="108" w:type="dxa"/>
            </w:tcMar>
            <w:hideMark/>
          </w:tcPr>
          <w:p w:rsidR="00552D9F" w:rsidRDefault="00552D9F" w:rsidP="00741880">
            <w:pPr>
              <w:spacing w:line="300" w:lineRule="atLeast"/>
              <w:jc w:val="both"/>
              <w:rPr>
                <w:rFonts w:ascii="Calibri" w:eastAsiaTheme="minorHAnsi" w:hAnsi="Calibri" w:cs="Calibri"/>
                <w:sz w:val="22"/>
                <w:szCs w:val="22"/>
              </w:rPr>
            </w:pPr>
            <w:r>
              <w:t>Data where the exact content is not relevant for the test case and can be changed for the purposes of testing</w:t>
            </w:r>
            <w:r w:rsidR="00165ED2">
              <w:t>. Example data is provided.</w:t>
            </w:r>
          </w:p>
        </w:tc>
        <w:tc>
          <w:tcPr>
            <w:tcW w:w="3066" w:type="dxa"/>
            <w:tcBorders>
              <w:top w:val="nil"/>
              <w:left w:val="nil"/>
              <w:bottom w:val="single" w:sz="8" w:space="0" w:color="auto"/>
              <w:right w:val="single" w:sz="8" w:space="0" w:color="auto"/>
            </w:tcBorders>
          </w:tcPr>
          <w:p w:rsidR="00552D9F" w:rsidRDefault="00552D9F" w:rsidP="00741880">
            <w:pPr>
              <w:spacing w:line="300" w:lineRule="atLeast"/>
              <w:jc w:val="both"/>
            </w:pPr>
            <w:r>
              <w:t>Validate for the presence of data</w:t>
            </w:r>
          </w:p>
        </w:tc>
      </w:tr>
    </w:tbl>
    <w:p w:rsidR="00A27B0D" w:rsidRDefault="00A27B0D" w:rsidP="00741880">
      <w:pPr>
        <w:rPr>
          <w:rFonts w:ascii="Calibri" w:eastAsiaTheme="minorHAnsi" w:hAnsi="Calibri" w:cs="Calibri"/>
          <w:color w:val="1F497D"/>
          <w:sz w:val="22"/>
          <w:szCs w:val="22"/>
        </w:rPr>
      </w:pPr>
    </w:p>
    <w:p w:rsidR="00A27B0D" w:rsidRDefault="00A27B0D" w:rsidP="00741880">
      <w:pPr>
        <w:rPr>
          <w:color w:val="1F497D"/>
        </w:rPr>
      </w:pPr>
    </w:p>
    <w:p w:rsidR="008511EB" w:rsidRPr="003B1179" w:rsidRDefault="003B1179" w:rsidP="00741880">
      <w:r w:rsidRPr="003B1179">
        <w:br w:type="page"/>
      </w:r>
    </w:p>
    <w:p w:rsidR="00254DD9" w:rsidRPr="008E3536" w:rsidRDefault="00254DD9" w:rsidP="00254DD9">
      <w:pPr>
        <w:pStyle w:val="Heading3"/>
        <w:numPr>
          <w:ilvl w:val="0"/>
          <w:numId w:val="0"/>
        </w:numPr>
      </w:pPr>
      <w:r w:rsidRPr="008E3536">
        <w:lastRenderedPageBreak/>
        <w:t>Conformance Test Tools</w:t>
      </w:r>
    </w:p>
    <w:p w:rsidR="006274F0" w:rsidRPr="0006639B" w:rsidRDefault="006274F0" w:rsidP="006274F0">
      <w:pPr>
        <w:spacing w:line="300" w:lineRule="atLeast"/>
      </w:pPr>
      <w:r w:rsidRPr="0006639B">
        <w:t>The following testing tools are available to evaluate conformance to the standards referenced in this test procedure:</w:t>
      </w:r>
    </w:p>
    <w:p w:rsidR="006274F0" w:rsidRPr="0006639B" w:rsidRDefault="006274F0" w:rsidP="00D17A5F">
      <w:pPr>
        <w:numPr>
          <w:ilvl w:val="0"/>
          <w:numId w:val="8"/>
        </w:numPr>
        <w:spacing w:line="300" w:lineRule="atLeast"/>
        <w:ind w:left="1080"/>
      </w:pPr>
      <w:r w:rsidRPr="0006639B">
        <w:t xml:space="preserve">HL7 v2 – NIST provides an HL7 v2 validation tool designed specifically to support this test procedure.  The tool is available </w:t>
      </w:r>
      <w:r w:rsidR="00D17A5F">
        <w:t xml:space="preserve">as a </w:t>
      </w:r>
      <w:r w:rsidRPr="0006639B">
        <w:t>Web Application</w:t>
      </w:r>
      <w:r w:rsidR="00D17A5F">
        <w:t>.</w:t>
      </w:r>
    </w:p>
    <w:p w:rsidR="006274F0" w:rsidRPr="0006639B" w:rsidRDefault="006F392C" w:rsidP="00174666">
      <w:pPr>
        <w:numPr>
          <w:ilvl w:val="0"/>
          <w:numId w:val="8"/>
        </w:numPr>
        <w:spacing w:line="300" w:lineRule="atLeast"/>
        <w:ind w:left="1080"/>
      </w:pPr>
      <w:r w:rsidRPr="0006639B">
        <w:t>The application</w:t>
      </w:r>
      <w:r w:rsidR="006274F0" w:rsidRPr="0006639B">
        <w:t xml:space="preserve"> can be downloaded for local installation</w:t>
      </w:r>
    </w:p>
    <w:p w:rsidR="006274F0" w:rsidRPr="0006639B" w:rsidRDefault="006274F0" w:rsidP="00174666">
      <w:pPr>
        <w:numPr>
          <w:ilvl w:val="0"/>
          <w:numId w:val="8"/>
        </w:numPr>
        <w:spacing w:line="300" w:lineRule="atLeast"/>
        <w:ind w:left="1080"/>
      </w:pPr>
      <w:r w:rsidRPr="0006639B">
        <w:t>NIST is making available the web-</w:t>
      </w:r>
      <w:r w:rsidR="006F392C" w:rsidRPr="0006639B">
        <w:t>site</w:t>
      </w:r>
      <w:r w:rsidRPr="0006639B">
        <w:t xml:space="preserve"> for pre-testing</w:t>
      </w:r>
    </w:p>
    <w:p w:rsidR="006274F0" w:rsidRPr="0006639B" w:rsidRDefault="006274F0" w:rsidP="00174666">
      <w:pPr>
        <w:numPr>
          <w:ilvl w:val="0"/>
          <w:numId w:val="8"/>
        </w:numPr>
        <w:spacing w:line="300" w:lineRule="atLeast"/>
        <w:ind w:left="1080"/>
      </w:pPr>
      <w:r w:rsidRPr="0006639B">
        <w:t xml:space="preserve">The  web application validation service </w:t>
      </w:r>
      <w:r w:rsidR="006F392C" w:rsidRPr="0006639B">
        <w:t>is</w:t>
      </w:r>
      <w:r w:rsidRPr="0006639B">
        <w:t xml:space="preserve"> available at:</w:t>
      </w:r>
    </w:p>
    <w:p w:rsidR="00D17A5F" w:rsidRDefault="00D17A5F" w:rsidP="006274F0">
      <w:pPr>
        <w:spacing w:line="300" w:lineRule="atLeast"/>
        <w:ind w:left="1440"/>
      </w:pPr>
      <w:hyperlink r:id="rId10" w:history="1">
        <w:r w:rsidRPr="00616DB4">
          <w:rPr>
            <w:rStyle w:val="Hyperlink"/>
          </w:rPr>
          <w:t>http://lri.sipilotdevelopment.org//mu-imm</w:t>
        </w:r>
        <w:r w:rsidRPr="00616DB4">
          <w:rPr>
            <w:rStyle w:val="Hyperlink"/>
          </w:rPr>
          <w:t>u</w:t>
        </w:r>
        <w:r w:rsidRPr="00616DB4">
          <w:rPr>
            <w:rStyle w:val="Hyperlink"/>
          </w:rPr>
          <w:t>nization</w:t>
        </w:r>
      </w:hyperlink>
    </w:p>
    <w:p w:rsidR="006274F0" w:rsidRPr="00724DBE" w:rsidRDefault="00C9737A" w:rsidP="006274F0">
      <w:pPr>
        <w:spacing w:line="300" w:lineRule="atLeast"/>
        <w:ind w:left="1440"/>
        <w:rPr>
          <w:color w:val="FF0000"/>
        </w:rPr>
      </w:pPr>
      <w:r w:rsidRPr="00C9737A">
        <w:rPr>
          <w:color w:val="FF0000"/>
        </w:rPr>
        <w:t>(NOTE: This is a temporary site for the public comment period. Updates to the tool will be made without notice during this period).</w:t>
      </w:r>
    </w:p>
    <w:p w:rsidR="00065531" w:rsidRPr="0006639B" w:rsidRDefault="00065531" w:rsidP="0006639B">
      <w:pPr>
        <w:pStyle w:val="ListParagraph"/>
        <w:numPr>
          <w:ilvl w:val="0"/>
          <w:numId w:val="21"/>
        </w:numPr>
        <w:spacing w:line="300" w:lineRule="atLeast"/>
        <w:rPr>
          <w:highlight w:val="yellow"/>
        </w:rPr>
      </w:pPr>
      <w:r w:rsidRPr="0006639B">
        <w:rPr>
          <w:highlight w:val="yellow"/>
        </w:rPr>
        <w:t>ADD LINK TO DOCUMENTATION</w:t>
      </w:r>
      <w:r w:rsidR="008E1720">
        <w:rPr>
          <w:highlight w:val="yellow"/>
        </w:rPr>
        <w:t xml:space="preserve"> (when available)</w:t>
      </w:r>
    </w:p>
    <w:p w:rsidR="006274F0" w:rsidRPr="00034D0C" w:rsidRDefault="006274F0" w:rsidP="006274F0">
      <w:pPr>
        <w:spacing w:line="300" w:lineRule="atLeast"/>
      </w:pPr>
    </w:p>
    <w:p w:rsidR="006274F0" w:rsidRPr="00034D0C" w:rsidRDefault="006274F0" w:rsidP="006274F0">
      <w:pPr>
        <w:spacing w:line="300" w:lineRule="atLeast"/>
      </w:pPr>
    </w:p>
    <w:p w:rsidR="006274F0" w:rsidRPr="0006639B" w:rsidRDefault="006274F0" w:rsidP="006274F0">
      <w:pPr>
        <w:spacing w:line="300" w:lineRule="atLeast"/>
      </w:pPr>
      <w:r w:rsidRPr="0006639B">
        <w:t>Support for these tools is available by contacting:</w:t>
      </w:r>
    </w:p>
    <w:p w:rsidR="006274F0" w:rsidRPr="0006639B" w:rsidRDefault="006274F0" w:rsidP="006274F0">
      <w:pPr>
        <w:spacing w:line="300" w:lineRule="atLeast"/>
      </w:pPr>
    </w:p>
    <w:p w:rsidR="006274F0" w:rsidRPr="0006639B" w:rsidRDefault="006274F0" w:rsidP="006274F0">
      <w:pPr>
        <w:pStyle w:val="NoSpacing"/>
        <w:rPr>
          <w:rFonts w:ascii="Arial" w:hAnsi="Arial" w:cs="Arial"/>
          <w:sz w:val="20"/>
          <w:szCs w:val="20"/>
        </w:rPr>
      </w:pPr>
      <w:r w:rsidRPr="0006639B">
        <w:rPr>
          <w:rFonts w:ascii="Arial" w:hAnsi="Arial" w:cs="Arial"/>
          <w:sz w:val="20"/>
          <w:szCs w:val="20"/>
        </w:rPr>
        <w:t>Rob Snelick (Robert.Snelick@nist.gov</w:t>
      </w:r>
      <w:proofErr w:type="gramStart"/>
      <w:r w:rsidRPr="0006639B">
        <w:rPr>
          <w:rFonts w:ascii="Arial" w:hAnsi="Arial" w:cs="Arial"/>
          <w:sz w:val="20"/>
          <w:szCs w:val="20"/>
        </w:rPr>
        <w:t>)</w:t>
      </w:r>
      <w:proofErr w:type="gramEnd"/>
      <w:r w:rsidRPr="0006639B">
        <w:rPr>
          <w:rFonts w:ascii="Arial" w:hAnsi="Arial" w:cs="Arial"/>
          <w:sz w:val="20"/>
          <w:szCs w:val="20"/>
        </w:rPr>
        <w:br/>
        <w:t xml:space="preserve">Computer Scientist </w:t>
      </w:r>
    </w:p>
    <w:p w:rsidR="006274F0" w:rsidRPr="0006639B" w:rsidRDefault="006274F0" w:rsidP="006274F0">
      <w:pPr>
        <w:pStyle w:val="NoSpacing"/>
        <w:rPr>
          <w:rFonts w:ascii="Arial" w:hAnsi="Arial" w:cs="Arial"/>
          <w:sz w:val="20"/>
          <w:szCs w:val="20"/>
        </w:rPr>
      </w:pPr>
      <w:r w:rsidRPr="0006639B">
        <w:rPr>
          <w:rFonts w:ascii="Arial" w:hAnsi="Arial" w:cs="Arial"/>
          <w:sz w:val="20"/>
          <w:szCs w:val="20"/>
        </w:rPr>
        <w:t>National Institute of Standards and Technology (NIST)</w:t>
      </w:r>
    </w:p>
    <w:p w:rsidR="006274F0" w:rsidRPr="0006639B" w:rsidRDefault="006274F0" w:rsidP="006274F0">
      <w:pPr>
        <w:pStyle w:val="NoSpacing"/>
        <w:rPr>
          <w:rFonts w:ascii="Arial" w:hAnsi="Arial" w:cs="Arial"/>
          <w:sz w:val="20"/>
          <w:szCs w:val="20"/>
        </w:rPr>
      </w:pPr>
      <w:r w:rsidRPr="0006639B">
        <w:rPr>
          <w:rFonts w:ascii="Arial" w:hAnsi="Arial" w:cs="Arial"/>
          <w:sz w:val="20"/>
          <w:szCs w:val="20"/>
        </w:rPr>
        <w:t>Information Technology Laboratory</w:t>
      </w:r>
    </w:p>
    <w:p w:rsidR="006274F0" w:rsidRPr="0006639B" w:rsidRDefault="006274F0" w:rsidP="006274F0">
      <w:pPr>
        <w:pStyle w:val="NoSpacing"/>
      </w:pPr>
    </w:p>
    <w:p w:rsidR="006274F0" w:rsidRPr="0006639B" w:rsidRDefault="006274F0" w:rsidP="006274F0">
      <w:pPr>
        <w:spacing w:after="240" w:line="300" w:lineRule="atLeast"/>
        <w:rPr>
          <w:iCs/>
        </w:rPr>
      </w:pPr>
      <w:r w:rsidRPr="0006639B">
        <w:rPr>
          <w:iCs/>
        </w:rPr>
        <w:t>The following information is provided to assist the Tester in interpreting the conformance reports generated by the NIST conformance testing tools.</w:t>
      </w:r>
    </w:p>
    <w:p w:rsidR="006274F0" w:rsidRPr="0006639B" w:rsidRDefault="006274F0" w:rsidP="006274F0">
      <w:pPr>
        <w:spacing w:line="300" w:lineRule="atLeast"/>
      </w:pPr>
      <w:r w:rsidRPr="0006639B">
        <w:rPr>
          <w:iCs/>
        </w:rPr>
        <w:t xml:space="preserve">The NIST HL7 conformance test tool evaluates conformance </w:t>
      </w:r>
      <w:r w:rsidR="0084233D">
        <w:rPr>
          <w:iCs/>
        </w:rPr>
        <w:t>requirements</w:t>
      </w:r>
      <w:r w:rsidRPr="0006639B">
        <w:rPr>
          <w:iCs/>
        </w:rPr>
        <w:t xml:space="preserve"> which </w:t>
      </w:r>
      <w:r w:rsidR="0084233D">
        <w:rPr>
          <w:iCs/>
        </w:rPr>
        <w:t xml:space="preserve">are specified or </w:t>
      </w:r>
      <w:r w:rsidRPr="0006639B">
        <w:rPr>
          <w:iCs/>
        </w:rPr>
        <w:t xml:space="preserve">have been derived from the standards and implementation guides identified in the Final Rule and the test data provided in this test procedure.  The conformance </w:t>
      </w:r>
      <w:r w:rsidR="0084233D">
        <w:rPr>
          <w:iCs/>
        </w:rPr>
        <w:t xml:space="preserve">test </w:t>
      </w:r>
      <w:r w:rsidRPr="0006639B">
        <w:rPr>
          <w:iCs/>
        </w:rPr>
        <w:t xml:space="preserve">tool evaluates the submitted HL7 message for each conformance </w:t>
      </w:r>
      <w:r w:rsidR="0084233D">
        <w:rPr>
          <w:iCs/>
        </w:rPr>
        <w:t>requirement</w:t>
      </w:r>
      <w:r w:rsidRPr="0006639B">
        <w:rPr>
          <w:iCs/>
        </w:rPr>
        <w:t xml:space="preserve">, and then produces a conformance report.  The Tester should consider that a report containing only Affirmative and Warning messages indicates </w:t>
      </w:r>
      <w:r w:rsidR="0084233D">
        <w:rPr>
          <w:iCs/>
        </w:rPr>
        <w:t xml:space="preserve">a sufficient level </w:t>
      </w:r>
      <w:r w:rsidR="008E1720">
        <w:rPr>
          <w:iCs/>
        </w:rPr>
        <w:t xml:space="preserve">of </w:t>
      </w:r>
      <w:r w:rsidR="008E1720" w:rsidRPr="0006639B">
        <w:rPr>
          <w:iCs/>
        </w:rPr>
        <w:t>conformance</w:t>
      </w:r>
      <w:r w:rsidRPr="0006639B">
        <w:rPr>
          <w:iCs/>
        </w:rPr>
        <w:t xml:space="preserve"> to the standard and test data expectations. If reported, Errors should be considered as significant departures from the standard or test data requirements which need to be corrected in order to claim conformance</w:t>
      </w:r>
      <w:r w:rsidRPr="0006639B">
        <w:t>. ATCBs will need to further analyze each error to determine if, in the context of meeting the criterion and overall meaningful use objective, the error results in a failure of the Test Procedure by the EHR technology.</w:t>
      </w:r>
    </w:p>
    <w:p w:rsidR="006274F0" w:rsidRPr="00BC78D8" w:rsidRDefault="006274F0" w:rsidP="006274F0">
      <w:pPr>
        <w:pStyle w:val="Heading2"/>
        <w:numPr>
          <w:ilvl w:val="0"/>
          <w:numId w:val="0"/>
        </w:numPr>
        <w:jc w:val="center"/>
        <w:rPr>
          <w:rFonts w:ascii="Arial Narrow" w:hAnsi="Arial Narrow"/>
        </w:rPr>
      </w:pPr>
      <w:r>
        <w:br w:type="page"/>
      </w:r>
      <w:r w:rsidRPr="00BC78D8">
        <w:rPr>
          <w:rFonts w:ascii="Arial Narrow" w:hAnsi="Arial Narrow"/>
        </w:rPr>
        <w:lastRenderedPageBreak/>
        <w:t>Document History</w:t>
      </w:r>
    </w:p>
    <w:p w:rsidR="006274F0" w:rsidRPr="003A66BE" w:rsidRDefault="006274F0" w:rsidP="006274F0">
      <w:pPr>
        <w:pStyle w:val="Heading2"/>
        <w:numPr>
          <w:ilvl w:val="0"/>
          <w:numId w:val="0"/>
        </w:numPr>
        <w:rPr>
          <w:rFonts w:ascii="Arial" w:hAnsi="Arial"/>
          <w:sz w:val="20"/>
          <w:szCs w:val="20"/>
        </w:rPr>
      </w:pPr>
    </w:p>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tblPr>
      <w:tblGrid>
        <w:gridCol w:w="1908"/>
        <w:gridCol w:w="5273"/>
        <w:gridCol w:w="2395"/>
      </w:tblGrid>
      <w:tr w:rsidR="006274F0" w:rsidTr="00174666">
        <w:trPr>
          <w:cantSplit/>
          <w:trHeight w:val="387"/>
          <w:tblHeader/>
          <w:jc w:val="center"/>
        </w:trPr>
        <w:tc>
          <w:tcPr>
            <w:tcW w:w="1908"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6274F0" w:rsidRPr="00D61824" w:rsidRDefault="006274F0" w:rsidP="00174666">
            <w:pPr>
              <w:keepNext/>
              <w:spacing w:before="60" w:after="60"/>
              <w:jc w:val="center"/>
              <w:rPr>
                <w:b/>
                <w:color w:val="FFFFFF"/>
                <w:sz w:val="18"/>
              </w:rPr>
            </w:pPr>
            <w:r w:rsidRPr="00D61824">
              <w:rPr>
                <w:b/>
                <w:color w:val="FFFFFF"/>
                <w:sz w:val="18"/>
              </w:rPr>
              <w:t>Version Number</w:t>
            </w:r>
          </w:p>
        </w:tc>
        <w:tc>
          <w:tcPr>
            <w:tcW w:w="5273"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6274F0" w:rsidRPr="00D61824" w:rsidRDefault="006274F0" w:rsidP="00174666">
            <w:pPr>
              <w:keepNext/>
              <w:spacing w:before="60" w:after="60"/>
              <w:jc w:val="center"/>
              <w:rPr>
                <w:b/>
                <w:color w:val="FFFFFF"/>
                <w:sz w:val="18"/>
              </w:rPr>
            </w:pPr>
            <w:r w:rsidRPr="00D61824">
              <w:rPr>
                <w:b/>
                <w:color w:val="FFFFFF"/>
                <w:sz w:val="18"/>
              </w:rPr>
              <w:t xml:space="preserve">Description </w:t>
            </w:r>
          </w:p>
        </w:tc>
        <w:tc>
          <w:tcPr>
            <w:tcW w:w="2395"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6274F0" w:rsidRPr="00D61824" w:rsidRDefault="006274F0" w:rsidP="00174666">
            <w:pPr>
              <w:keepNext/>
              <w:spacing w:before="60" w:after="60"/>
              <w:jc w:val="center"/>
              <w:rPr>
                <w:b/>
                <w:color w:val="FFFFFF"/>
                <w:sz w:val="18"/>
              </w:rPr>
            </w:pPr>
            <w:r w:rsidRPr="00D61824">
              <w:rPr>
                <w:b/>
                <w:color w:val="FFFFFF"/>
                <w:sz w:val="18"/>
              </w:rPr>
              <w:t>Date Published</w:t>
            </w:r>
          </w:p>
        </w:tc>
      </w:tr>
      <w:tr w:rsidR="006274F0" w:rsidRPr="0042790A" w:rsidTr="00174666">
        <w:trPr>
          <w:cantSplit/>
          <w:jc w:val="center"/>
        </w:trPr>
        <w:tc>
          <w:tcPr>
            <w:tcW w:w="1908" w:type="dxa"/>
            <w:tcMar>
              <w:top w:w="43" w:type="dxa"/>
              <w:bottom w:w="43" w:type="dxa"/>
            </w:tcMar>
          </w:tcPr>
          <w:p w:rsidR="006274F0" w:rsidRPr="0042790A" w:rsidRDefault="006274F0" w:rsidP="00174666">
            <w:pPr>
              <w:jc w:val="center"/>
              <w:rPr>
                <w:sz w:val="18"/>
              </w:rPr>
            </w:pPr>
            <w:r w:rsidRPr="0042790A">
              <w:rPr>
                <w:sz w:val="18"/>
              </w:rPr>
              <w:t>0.</w:t>
            </w:r>
            <w:r>
              <w:rPr>
                <w:sz w:val="18"/>
              </w:rPr>
              <w:t>1</w:t>
            </w:r>
          </w:p>
        </w:tc>
        <w:tc>
          <w:tcPr>
            <w:tcW w:w="5273" w:type="dxa"/>
            <w:tcMar>
              <w:top w:w="43" w:type="dxa"/>
              <w:bottom w:w="43" w:type="dxa"/>
            </w:tcMar>
          </w:tcPr>
          <w:p w:rsidR="006274F0" w:rsidRPr="0042790A" w:rsidRDefault="006274F0" w:rsidP="00174666">
            <w:pPr>
              <w:ind w:firstLine="5"/>
              <w:rPr>
                <w:sz w:val="18"/>
              </w:rPr>
            </w:pPr>
            <w:r w:rsidRPr="0042790A">
              <w:rPr>
                <w:sz w:val="18"/>
              </w:rPr>
              <w:t xml:space="preserve">Original </w:t>
            </w:r>
            <w:r>
              <w:rPr>
                <w:sz w:val="18"/>
              </w:rPr>
              <w:t xml:space="preserve">internal </w:t>
            </w:r>
            <w:r w:rsidRPr="0042790A">
              <w:rPr>
                <w:sz w:val="18"/>
              </w:rPr>
              <w:t>draft version</w:t>
            </w:r>
          </w:p>
        </w:tc>
        <w:tc>
          <w:tcPr>
            <w:tcW w:w="2395" w:type="dxa"/>
            <w:tcMar>
              <w:top w:w="43" w:type="dxa"/>
              <w:bottom w:w="43" w:type="dxa"/>
            </w:tcMar>
          </w:tcPr>
          <w:p w:rsidR="006274F0" w:rsidRPr="0042790A" w:rsidRDefault="006274F0" w:rsidP="000C5E1F">
            <w:pPr>
              <w:jc w:val="center"/>
              <w:rPr>
                <w:sz w:val="18"/>
              </w:rPr>
            </w:pPr>
            <w:r>
              <w:rPr>
                <w:sz w:val="18"/>
              </w:rPr>
              <w:t>July</w:t>
            </w:r>
            <w:r w:rsidRPr="0042790A">
              <w:rPr>
                <w:sz w:val="18"/>
              </w:rPr>
              <w:t xml:space="preserve"> </w:t>
            </w:r>
            <w:r w:rsidR="000C5E1F">
              <w:rPr>
                <w:sz w:val="18"/>
              </w:rPr>
              <w:t>23</w:t>
            </w:r>
            <w:r w:rsidRPr="0042790A">
              <w:rPr>
                <w:sz w:val="18"/>
              </w:rPr>
              <w:t>, 201</w:t>
            </w:r>
            <w:r>
              <w:rPr>
                <w:sz w:val="18"/>
              </w:rPr>
              <w:t>2</w:t>
            </w:r>
          </w:p>
        </w:tc>
      </w:tr>
      <w:tr w:rsidR="00A112E0" w:rsidRPr="0042790A" w:rsidTr="0083486A">
        <w:trPr>
          <w:cantSplit/>
          <w:jc w:val="center"/>
        </w:trPr>
        <w:tc>
          <w:tcPr>
            <w:tcW w:w="1908" w:type="dxa"/>
            <w:tcMar>
              <w:top w:w="43" w:type="dxa"/>
              <w:bottom w:w="43" w:type="dxa"/>
            </w:tcMar>
          </w:tcPr>
          <w:p w:rsidR="00A112E0" w:rsidRPr="0042790A" w:rsidRDefault="00A112E0" w:rsidP="0083486A">
            <w:pPr>
              <w:jc w:val="center"/>
              <w:rPr>
                <w:sz w:val="18"/>
              </w:rPr>
            </w:pPr>
            <w:r w:rsidRPr="0042790A">
              <w:rPr>
                <w:sz w:val="18"/>
              </w:rPr>
              <w:t>0.</w:t>
            </w:r>
            <w:r>
              <w:rPr>
                <w:sz w:val="18"/>
              </w:rPr>
              <w:t>2</w:t>
            </w:r>
          </w:p>
        </w:tc>
        <w:tc>
          <w:tcPr>
            <w:tcW w:w="5273" w:type="dxa"/>
            <w:tcMar>
              <w:top w:w="43" w:type="dxa"/>
              <w:bottom w:w="43" w:type="dxa"/>
            </w:tcMar>
          </w:tcPr>
          <w:p w:rsidR="00A112E0" w:rsidRDefault="00A112E0" w:rsidP="00A112E0">
            <w:pPr>
              <w:ind w:firstLine="5"/>
              <w:rPr>
                <w:sz w:val="18"/>
              </w:rPr>
            </w:pPr>
            <w:r>
              <w:rPr>
                <w:sz w:val="18"/>
              </w:rPr>
              <w:t>Updated o</w:t>
            </w:r>
            <w:r w:rsidRPr="0042790A">
              <w:rPr>
                <w:sz w:val="18"/>
              </w:rPr>
              <w:t xml:space="preserve">riginal </w:t>
            </w:r>
            <w:r>
              <w:rPr>
                <w:sz w:val="18"/>
              </w:rPr>
              <w:t xml:space="preserve">internal </w:t>
            </w:r>
            <w:r w:rsidRPr="0042790A">
              <w:rPr>
                <w:sz w:val="18"/>
              </w:rPr>
              <w:t>draft version</w:t>
            </w:r>
          </w:p>
          <w:p w:rsidR="00A112E0" w:rsidRPr="00A112E0" w:rsidRDefault="00A112E0" w:rsidP="00A112E0">
            <w:pPr>
              <w:pStyle w:val="ListParagraph"/>
              <w:numPr>
                <w:ilvl w:val="0"/>
                <w:numId w:val="17"/>
              </w:numPr>
              <w:rPr>
                <w:sz w:val="18"/>
              </w:rPr>
            </w:pPr>
            <w:r>
              <w:rPr>
                <w:sz w:val="18"/>
              </w:rPr>
              <w:t>Transmit test steps deleted</w:t>
            </w:r>
          </w:p>
        </w:tc>
        <w:tc>
          <w:tcPr>
            <w:tcW w:w="2395" w:type="dxa"/>
            <w:tcMar>
              <w:top w:w="43" w:type="dxa"/>
              <w:bottom w:w="43" w:type="dxa"/>
            </w:tcMar>
          </w:tcPr>
          <w:p w:rsidR="00A112E0" w:rsidRPr="0042790A" w:rsidRDefault="00A112E0" w:rsidP="00A112E0">
            <w:pPr>
              <w:jc w:val="center"/>
              <w:rPr>
                <w:sz w:val="18"/>
              </w:rPr>
            </w:pPr>
            <w:r>
              <w:rPr>
                <w:sz w:val="18"/>
              </w:rPr>
              <w:t>August 9</w:t>
            </w:r>
            <w:r w:rsidRPr="0042790A">
              <w:rPr>
                <w:sz w:val="18"/>
              </w:rPr>
              <w:t>, 201</w:t>
            </w:r>
            <w:r>
              <w:rPr>
                <w:sz w:val="18"/>
              </w:rPr>
              <w:t>2</w:t>
            </w:r>
          </w:p>
        </w:tc>
      </w:tr>
      <w:tr w:rsidR="009F46D0" w:rsidRPr="0042790A" w:rsidTr="0051024E">
        <w:trPr>
          <w:cantSplit/>
          <w:jc w:val="center"/>
        </w:trPr>
        <w:tc>
          <w:tcPr>
            <w:tcW w:w="1908" w:type="dxa"/>
            <w:tcMar>
              <w:top w:w="43" w:type="dxa"/>
              <w:bottom w:w="43" w:type="dxa"/>
            </w:tcMar>
          </w:tcPr>
          <w:p w:rsidR="009F46D0" w:rsidRPr="0042790A" w:rsidRDefault="009F46D0" w:rsidP="009F46D0">
            <w:pPr>
              <w:jc w:val="center"/>
              <w:rPr>
                <w:sz w:val="18"/>
              </w:rPr>
            </w:pPr>
            <w:r w:rsidRPr="0042790A">
              <w:rPr>
                <w:sz w:val="18"/>
              </w:rPr>
              <w:t>0.</w:t>
            </w:r>
            <w:r>
              <w:rPr>
                <w:sz w:val="18"/>
              </w:rPr>
              <w:t>3</w:t>
            </w:r>
          </w:p>
        </w:tc>
        <w:tc>
          <w:tcPr>
            <w:tcW w:w="5273" w:type="dxa"/>
            <w:tcMar>
              <w:top w:w="43" w:type="dxa"/>
              <w:bottom w:w="43" w:type="dxa"/>
            </w:tcMar>
          </w:tcPr>
          <w:p w:rsidR="009F46D0" w:rsidRPr="009F46D0" w:rsidRDefault="009F46D0" w:rsidP="009F46D0">
            <w:pPr>
              <w:ind w:firstLine="5"/>
              <w:rPr>
                <w:sz w:val="18"/>
              </w:rPr>
            </w:pPr>
            <w:r>
              <w:rPr>
                <w:sz w:val="18"/>
              </w:rPr>
              <w:t xml:space="preserve">Updated internal </w:t>
            </w:r>
            <w:r w:rsidRPr="0042790A">
              <w:rPr>
                <w:sz w:val="18"/>
              </w:rPr>
              <w:t>draft version</w:t>
            </w:r>
            <w:r w:rsidR="00875EE2">
              <w:rPr>
                <w:sz w:val="18"/>
              </w:rPr>
              <w:t xml:space="preserve"> with feedback from Rob Snelick and Nathan Bunker</w:t>
            </w:r>
          </w:p>
        </w:tc>
        <w:tc>
          <w:tcPr>
            <w:tcW w:w="2395" w:type="dxa"/>
            <w:tcMar>
              <w:top w:w="43" w:type="dxa"/>
              <w:bottom w:w="43" w:type="dxa"/>
            </w:tcMar>
          </w:tcPr>
          <w:p w:rsidR="009F46D0" w:rsidRPr="0042790A" w:rsidRDefault="009F46D0" w:rsidP="009F46D0">
            <w:pPr>
              <w:jc w:val="center"/>
              <w:rPr>
                <w:sz w:val="18"/>
              </w:rPr>
            </w:pPr>
            <w:r>
              <w:rPr>
                <w:sz w:val="18"/>
              </w:rPr>
              <w:t>August 13</w:t>
            </w:r>
            <w:r w:rsidRPr="0042790A">
              <w:rPr>
                <w:sz w:val="18"/>
              </w:rPr>
              <w:t>, 201</w:t>
            </w:r>
            <w:r>
              <w:rPr>
                <w:sz w:val="18"/>
              </w:rPr>
              <w:t>2</w:t>
            </w:r>
          </w:p>
        </w:tc>
      </w:tr>
      <w:tr w:rsidR="006274F0" w:rsidRPr="0042790A" w:rsidTr="00174666">
        <w:trPr>
          <w:cantSplit/>
          <w:jc w:val="center"/>
        </w:trPr>
        <w:tc>
          <w:tcPr>
            <w:tcW w:w="1908" w:type="dxa"/>
            <w:tcMar>
              <w:top w:w="43" w:type="dxa"/>
              <w:bottom w:w="43" w:type="dxa"/>
            </w:tcMar>
          </w:tcPr>
          <w:p w:rsidR="006274F0" w:rsidRPr="007477DA" w:rsidRDefault="00965498" w:rsidP="00965498">
            <w:pPr>
              <w:jc w:val="center"/>
              <w:rPr>
                <w:sz w:val="18"/>
              </w:rPr>
            </w:pPr>
            <w:r>
              <w:rPr>
                <w:sz w:val="18"/>
              </w:rPr>
              <w:t>0</w:t>
            </w:r>
            <w:r w:rsidR="006274F0" w:rsidRPr="007477DA">
              <w:rPr>
                <w:sz w:val="18"/>
              </w:rPr>
              <w:t>.</w:t>
            </w:r>
            <w:r>
              <w:rPr>
                <w:sz w:val="18"/>
              </w:rPr>
              <w:t>4</w:t>
            </w:r>
          </w:p>
        </w:tc>
        <w:tc>
          <w:tcPr>
            <w:tcW w:w="5273" w:type="dxa"/>
            <w:tcMar>
              <w:top w:w="43" w:type="dxa"/>
              <w:bottom w:w="43" w:type="dxa"/>
            </w:tcMar>
          </w:tcPr>
          <w:p w:rsidR="006274F0" w:rsidRPr="007477DA" w:rsidRDefault="00965498" w:rsidP="00965498">
            <w:pPr>
              <w:ind w:firstLine="5"/>
              <w:rPr>
                <w:sz w:val="18"/>
              </w:rPr>
            </w:pPr>
            <w:r>
              <w:rPr>
                <w:sz w:val="18"/>
              </w:rPr>
              <w:t xml:space="preserve">Updated internal </w:t>
            </w:r>
            <w:r w:rsidRPr="0042790A">
              <w:rPr>
                <w:sz w:val="18"/>
              </w:rPr>
              <w:t>draft version</w:t>
            </w:r>
            <w:r>
              <w:rPr>
                <w:sz w:val="18"/>
              </w:rPr>
              <w:t xml:space="preserve"> with feedback from Rob Snelick and diagram from Alan Viars</w:t>
            </w:r>
          </w:p>
        </w:tc>
        <w:tc>
          <w:tcPr>
            <w:tcW w:w="2395" w:type="dxa"/>
            <w:tcMar>
              <w:top w:w="43" w:type="dxa"/>
              <w:bottom w:w="43" w:type="dxa"/>
            </w:tcMar>
          </w:tcPr>
          <w:p w:rsidR="006274F0" w:rsidRPr="007477DA" w:rsidRDefault="00965498" w:rsidP="00671A51">
            <w:pPr>
              <w:jc w:val="center"/>
              <w:rPr>
                <w:sz w:val="18"/>
              </w:rPr>
            </w:pPr>
            <w:r>
              <w:rPr>
                <w:sz w:val="18"/>
              </w:rPr>
              <w:t xml:space="preserve">August </w:t>
            </w:r>
            <w:r w:rsidR="00671A51">
              <w:rPr>
                <w:sz w:val="18"/>
              </w:rPr>
              <w:t>29</w:t>
            </w:r>
            <w:r w:rsidRPr="0042790A">
              <w:rPr>
                <w:sz w:val="18"/>
              </w:rPr>
              <w:t>, 201</w:t>
            </w:r>
            <w:r>
              <w:rPr>
                <w:sz w:val="18"/>
              </w:rPr>
              <w:t>2</w:t>
            </w:r>
          </w:p>
        </w:tc>
      </w:tr>
      <w:tr w:rsidR="00671A51" w:rsidRPr="0042790A" w:rsidTr="00C50F6E">
        <w:trPr>
          <w:cantSplit/>
          <w:jc w:val="center"/>
        </w:trPr>
        <w:tc>
          <w:tcPr>
            <w:tcW w:w="1908" w:type="dxa"/>
            <w:tcMar>
              <w:top w:w="43" w:type="dxa"/>
              <w:bottom w:w="43" w:type="dxa"/>
            </w:tcMar>
          </w:tcPr>
          <w:p w:rsidR="00671A51" w:rsidRPr="007477DA" w:rsidRDefault="00671A51" w:rsidP="00671A51">
            <w:pPr>
              <w:jc w:val="center"/>
              <w:rPr>
                <w:sz w:val="18"/>
              </w:rPr>
            </w:pPr>
            <w:r>
              <w:rPr>
                <w:sz w:val="18"/>
              </w:rPr>
              <w:t>0</w:t>
            </w:r>
            <w:r w:rsidRPr="007477DA">
              <w:rPr>
                <w:sz w:val="18"/>
              </w:rPr>
              <w:t>.</w:t>
            </w:r>
            <w:r>
              <w:rPr>
                <w:sz w:val="18"/>
              </w:rPr>
              <w:t>5</w:t>
            </w:r>
          </w:p>
        </w:tc>
        <w:tc>
          <w:tcPr>
            <w:tcW w:w="5273" w:type="dxa"/>
            <w:tcMar>
              <w:top w:w="43" w:type="dxa"/>
              <w:bottom w:w="43" w:type="dxa"/>
            </w:tcMar>
          </w:tcPr>
          <w:p w:rsidR="00671A51" w:rsidRDefault="00671A51" w:rsidP="00C50F6E">
            <w:pPr>
              <w:ind w:firstLine="5"/>
              <w:rPr>
                <w:sz w:val="18"/>
              </w:rPr>
            </w:pPr>
            <w:r>
              <w:rPr>
                <w:sz w:val="18"/>
              </w:rPr>
              <w:t xml:space="preserve">Updated internal </w:t>
            </w:r>
            <w:r w:rsidRPr="0042790A">
              <w:rPr>
                <w:sz w:val="18"/>
              </w:rPr>
              <w:t>draft version</w:t>
            </w:r>
          </w:p>
          <w:p w:rsidR="00671A51" w:rsidRPr="00671A51" w:rsidRDefault="00671A51" w:rsidP="00671A51">
            <w:pPr>
              <w:pStyle w:val="ListParagraph"/>
              <w:numPr>
                <w:ilvl w:val="0"/>
                <w:numId w:val="17"/>
              </w:numPr>
              <w:rPr>
                <w:sz w:val="18"/>
              </w:rPr>
            </w:pPr>
            <w:r>
              <w:rPr>
                <w:sz w:val="18"/>
              </w:rPr>
              <w:t>Corrected Test Case list in Figure 2</w:t>
            </w:r>
          </w:p>
        </w:tc>
        <w:tc>
          <w:tcPr>
            <w:tcW w:w="2395" w:type="dxa"/>
            <w:tcMar>
              <w:top w:w="43" w:type="dxa"/>
              <w:bottom w:w="43" w:type="dxa"/>
            </w:tcMar>
          </w:tcPr>
          <w:p w:rsidR="00671A51" w:rsidRPr="007477DA" w:rsidRDefault="00671A51" w:rsidP="00671A51">
            <w:pPr>
              <w:jc w:val="center"/>
              <w:rPr>
                <w:sz w:val="18"/>
              </w:rPr>
            </w:pPr>
            <w:r>
              <w:rPr>
                <w:sz w:val="18"/>
              </w:rPr>
              <w:t>August 29</w:t>
            </w:r>
            <w:r w:rsidRPr="0042790A">
              <w:rPr>
                <w:sz w:val="18"/>
              </w:rPr>
              <w:t>, 201</w:t>
            </w:r>
            <w:r>
              <w:rPr>
                <w:sz w:val="18"/>
              </w:rPr>
              <w:t>2</w:t>
            </w:r>
          </w:p>
        </w:tc>
      </w:tr>
      <w:tr w:rsidR="00533F8B" w:rsidRPr="0042790A" w:rsidTr="00C46F4A">
        <w:trPr>
          <w:cantSplit/>
          <w:jc w:val="center"/>
        </w:trPr>
        <w:tc>
          <w:tcPr>
            <w:tcW w:w="1908" w:type="dxa"/>
            <w:tcMar>
              <w:top w:w="43" w:type="dxa"/>
              <w:bottom w:w="43" w:type="dxa"/>
            </w:tcMar>
          </w:tcPr>
          <w:p w:rsidR="00533F8B" w:rsidRPr="007477DA" w:rsidRDefault="00533F8B" w:rsidP="00C46F4A">
            <w:pPr>
              <w:jc w:val="center"/>
              <w:rPr>
                <w:sz w:val="18"/>
              </w:rPr>
            </w:pPr>
            <w:r>
              <w:rPr>
                <w:sz w:val="18"/>
              </w:rPr>
              <w:t>0</w:t>
            </w:r>
            <w:r w:rsidRPr="007477DA">
              <w:rPr>
                <w:sz w:val="18"/>
              </w:rPr>
              <w:t>.</w:t>
            </w:r>
            <w:r>
              <w:rPr>
                <w:sz w:val="18"/>
              </w:rPr>
              <w:t>6</w:t>
            </w:r>
          </w:p>
        </w:tc>
        <w:tc>
          <w:tcPr>
            <w:tcW w:w="5273" w:type="dxa"/>
            <w:tcMar>
              <w:top w:w="43" w:type="dxa"/>
              <w:bottom w:w="43" w:type="dxa"/>
            </w:tcMar>
          </w:tcPr>
          <w:p w:rsidR="00533F8B" w:rsidRDefault="00533F8B" w:rsidP="00C46F4A">
            <w:pPr>
              <w:ind w:firstLine="5"/>
              <w:rPr>
                <w:sz w:val="18"/>
              </w:rPr>
            </w:pPr>
            <w:r>
              <w:rPr>
                <w:sz w:val="18"/>
              </w:rPr>
              <w:t xml:space="preserve">Updated internal </w:t>
            </w:r>
            <w:r w:rsidRPr="0042790A">
              <w:rPr>
                <w:sz w:val="18"/>
              </w:rPr>
              <w:t>draft version</w:t>
            </w:r>
          </w:p>
          <w:p w:rsidR="00533F8B" w:rsidRDefault="00533F8B" w:rsidP="00C46F4A">
            <w:pPr>
              <w:pStyle w:val="ListParagraph"/>
              <w:numPr>
                <w:ilvl w:val="0"/>
                <w:numId w:val="17"/>
              </w:numPr>
              <w:rPr>
                <w:sz w:val="18"/>
              </w:rPr>
            </w:pPr>
            <w:r>
              <w:rPr>
                <w:sz w:val="18"/>
              </w:rPr>
              <w:t>Incorporated feedback from Rob S</w:t>
            </w:r>
            <w:r w:rsidR="008377CC">
              <w:rPr>
                <w:sz w:val="18"/>
              </w:rPr>
              <w:t>n</w:t>
            </w:r>
            <w:r>
              <w:rPr>
                <w:sz w:val="18"/>
              </w:rPr>
              <w:t>elick</w:t>
            </w:r>
          </w:p>
          <w:p w:rsidR="00926403" w:rsidRDefault="00926403" w:rsidP="00C46F4A">
            <w:pPr>
              <w:pStyle w:val="ListParagraph"/>
              <w:numPr>
                <w:ilvl w:val="0"/>
                <w:numId w:val="17"/>
              </w:numPr>
              <w:rPr>
                <w:sz w:val="18"/>
              </w:rPr>
            </w:pPr>
            <w:r>
              <w:rPr>
                <w:sz w:val="18"/>
              </w:rPr>
              <w:t>Added boilerplate verbiage approved by ONC</w:t>
            </w:r>
          </w:p>
          <w:p w:rsidR="00926403" w:rsidRDefault="00926403" w:rsidP="00C46F4A">
            <w:pPr>
              <w:pStyle w:val="ListParagraph"/>
              <w:numPr>
                <w:ilvl w:val="0"/>
                <w:numId w:val="17"/>
              </w:numPr>
              <w:rPr>
                <w:sz w:val="18"/>
              </w:rPr>
            </w:pPr>
            <w:r>
              <w:rPr>
                <w:sz w:val="18"/>
              </w:rPr>
              <w:t>Added Numbered Test Steps from Figure 1</w:t>
            </w:r>
          </w:p>
          <w:p w:rsidR="00926403" w:rsidRPr="00671A51" w:rsidRDefault="00926403" w:rsidP="00926403">
            <w:pPr>
              <w:pStyle w:val="ListParagraph"/>
              <w:numPr>
                <w:ilvl w:val="0"/>
                <w:numId w:val="17"/>
              </w:numPr>
              <w:rPr>
                <w:sz w:val="18"/>
              </w:rPr>
            </w:pPr>
            <w:r>
              <w:rPr>
                <w:sz w:val="18"/>
              </w:rPr>
              <w:t xml:space="preserve">TBD: Add Preamble quotes from “Changes from 2011 Edition to 2014 Edition” </w:t>
            </w:r>
          </w:p>
        </w:tc>
        <w:tc>
          <w:tcPr>
            <w:tcW w:w="2395" w:type="dxa"/>
            <w:tcMar>
              <w:top w:w="43" w:type="dxa"/>
              <w:bottom w:w="43" w:type="dxa"/>
            </w:tcMar>
          </w:tcPr>
          <w:p w:rsidR="00533F8B" w:rsidRPr="007477DA" w:rsidRDefault="00533F8B" w:rsidP="00533F8B">
            <w:pPr>
              <w:jc w:val="center"/>
              <w:rPr>
                <w:sz w:val="18"/>
              </w:rPr>
            </w:pPr>
            <w:r>
              <w:rPr>
                <w:sz w:val="18"/>
              </w:rPr>
              <w:t>August 30</w:t>
            </w:r>
            <w:r w:rsidRPr="0042790A">
              <w:rPr>
                <w:sz w:val="18"/>
              </w:rPr>
              <w:t>, 201</w:t>
            </w:r>
            <w:r>
              <w:rPr>
                <w:sz w:val="18"/>
              </w:rPr>
              <w:t>2</w:t>
            </w:r>
          </w:p>
        </w:tc>
      </w:tr>
      <w:tr w:rsidR="006274F0" w:rsidRPr="0042790A" w:rsidTr="00174666">
        <w:trPr>
          <w:cantSplit/>
          <w:jc w:val="center"/>
        </w:trPr>
        <w:tc>
          <w:tcPr>
            <w:tcW w:w="1908" w:type="dxa"/>
            <w:tcMar>
              <w:top w:w="43" w:type="dxa"/>
              <w:bottom w:w="43" w:type="dxa"/>
            </w:tcMar>
          </w:tcPr>
          <w:p w:rsidR="006274F0" w:rsidRPr="007477DA" w:rsidRDefault="006274F0" w:rsidP="00174666">
            <w:pPr>
              <w:jc w:val="center"/>
              <w:rPr>
                <w:sz w:val="18"/>
              </w:rPr>
            </w:pPr>
            <w:proofErr w:type="spellStart"/>
            <w:r w:rsidRPr="007477DA">
              <w:rPr>
                <w:sz w:val="18"/>
              </w:rPr>
              <w:t>n.n</w:t>
            </w:r>
            <w:proofErr w:type="spellEnd"/>
          </w:p>
        </w:tc>
        <w:tc>
          <w:tcPr>
            <w:tcW w:w="5273" w:type="dxa"/>
            <w:tcMar>
              <w:top w:w="43" w:type="dxa"/>
              <w:bottom w:w="43" w:type="dxa"/>
            </w:tcMar>
          </w:tcPr>
          <w:p w:rsidR="006274F0" w:rsidRPr="007477DA" w:rsidRDefault="006274F0" w:rsidP="00174666">
            <w:pPr>
              <w:tabs>
                <w:tab w:val="left" w:pos="1145"/>
              </w:tabs>
              <w:rPr>
                <w:rFonts w:cs="Arial"/>
                <w:sz w:val="18"/>
                <w:szCs w:val="18"/>
              </w:rPr>
            </w:pPr>
            <w:r w:rsidRPr="007477DA">
              <w:rPr>
                <w:sz w:val="18"/>
              </w:rPr>
              <w:t>Xxx</w:t>
            </w:r>
          </w:p>
          <w:p w:rsidR="006274F0" w:rsidRPr="007477DA" w:rsidRDefault="006274F0" w:rsidP="00174666">
            <w:pPr>
              <w:numPr>
                <w:ilvl w:val="0"/>
                <w:numId w:val="9"/>
              </w:numPr>
              <w:rPr>
                <w:rFonts w:cs="Arial"/>
                <w:sz w:val="18"/>
                <w:szCs w:val="18"/>
              </w:rPr>
            </w:pPr>
            <w:r w:rsidRPr="007477DA">
              <w:rPr>
                <w:rFonts w:cs="Arial"/>
                <w:sz w:val="18"/>
                <w:szCs w:val="18"/>
              </w:rPr>
              <w:t>Xxx</w:t>
            </w:r>
          </w:p>
        </w:tc>
        <w:tc>
          <w:tcPr>
            <w:tcW w:w="2395" w:type="dxa"/>
            <w:tcMar>
              <w:top w:w="43" w:type="dxa"/>
              <w:bottom w:w="43" w:type="dxa"/>
            </w:tcMar>
          </w:tcPr>
          <w:p w:rsidR="006274F0" w:rsidRPr="007477DA" w:rsidRDefault="006274F0" w:rsidP="00174666">
            <w:pPr>
              <w:jc w:val="center"/>
              <w:rPr>
                <w:sz w:val="18"/>
              </w:rPr>
            </w:pPr>
            <w:r w:rsidRPr="007477DA">
              <w:rPr>
                <w:sz w:val="18"/>
              </w:rPr>
              <w:t>MMM DD, 2012</w:t>
            </w:r>
          </w:p>
        </w:tc>
      </w:tr>
    </w:tbl>
    <w:p w:rsidR="006274F0" w:rsidRDefault="006274F0" w:rsidP="006274F0"/>
    <w:p w:rsidR="00B336B0" w:rsidRPr="003A66BE" w:rsidRDefault="006274F0" w:rsidP="006274F0">
      <w:pPr>
        <w:pStyle w:val="Heading2"/>
        <w:numPr>
          <w:ilvl w:val="0"/>
          <w:numId w:val="0"/>
        </w:numPr>
      </w:pPr>
      <w:r w:rsidRPr="003A66BE">
        <w:t xml:space="preserve"> </w:t>
      </w:r>
    </w:p>
    <w:p w:rsidR="00BC2F7A" w:rsidRPr="008E3536" w:rsidRDefault="00BC2F7A" w:rsidP="000A060D">
      <w:pPr>
        <w:spacing w:line="300" w:lineRule="atLeast"/>
      </w:pPr>
    </w:p>
    <w:sectPr w:rsidR="00BC2F7A" w:rsidRPr="008E3536" w:rsidSect="005D2CB7">
      <w:headerReference w:type="default" r:id="rId11"/>
      <w:footerReference w:type="default" r:id="rId12"/>
      <w:pgSz w:w="12240" w:h="15840" w:code="1"/>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E07" w:rsidRDefault="00B53E07">
      <w:r>
        <w:separator/>
      </w:r>
    </w:p>
  </w:endnote>
  <w:endnote w:type="continuationSeparator" w:id="0">
    <w:p w:rsidR="00B53E07" w:rsidRDefault="00B53E0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Bold">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96C" w:rsidRPr="009B7D44" w:rsidRDefault="00C9737A" w:rsidP="004D7F9F">
    <w:pPr>
      <w:pBdr>
        <w:right w:val="single" w:sz="48" w:space="4" w:color="800000"/>
      </w:pBdr>
      <w:jc w:val="right"/>
    </w:pPr>
    <w:r>
      <w:rPr>
        <w:rStyle w:val="PageNumber"/>
      </w:rPr>
      <w:fldChar w:fldCharType="begin"/>
    </w:r>
    <w:r w:rsidR="00B6496C">
      <w:rPr>
        <w:rStyle w:val="PageNumber"/>
      </w:rPr>
      <w:instrText xml:space="preserve"> PAGE </w:instrText>
    </w:r>
    <w:r>
      <w:rPr>
        <w:rStyle w:val="PageNumber"/>
      </w:rPr>
      <w:fldChar w:fldCharType="separate"/>
    </w:r>
    <w:r w:rsidR="00A86719">
      <w:rPr>
        <w:rStyle w:val="PageNumber"/>
        <w:noProof/>
      </w:rPr>
      <w:t>10</w:t>
    </w:r>
    <w:r>
      <w:rPr>
        <w:rStyle w:val="PageNumber"/>
      </w:rPr>
      <w:fldChar w:fldCharType="end"/>
    </w:r>
  </w:p>
  <w:p w:rsidR="00B6496C" w:rsidRDefault="00B649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E07" w:rsidRDefault="00B53E07">
      <w:r>
        <w:separator/>
      </w:r>
    </w:p>
  </w:footnote>
  <w:footnote w:type="continuationSeparator" w:id="0">
    <w:p w:rsidR="00B53E07" w:rsidRDefault="00B53E07">
      <w:r>
        <w:continuationSeparator/>
      </w:r>
    </w:p>
  </w:footnote>
  <w:footnote w:id="1">
    <w:p w:rsidR="000E2C81" w:rsidRPr="007A2147" w:rsidRDefault="000E2C81" w:rsidP="000E2C81">
      <w:pPr>
        <w:pStyle w:val="FootnoteText"/>
        <w:ind w:left="90" w:hanging="90"/>
        <w:rPr>
          <w:szCs w:val="18"/>
        </w:rPr>
      </w:pPr>
      <w:r w:rsidRPr="007A2147">
        <w:rPr>
          <w:rStyle w:val="FootnoteReference"/>
          <w:szCs w:val="18"/>
        </w:rPr>
        <w:footnoteRef/>
      </w:r>
      <w:r w:rsidRPr="007A2147">
        <w:rPr>
          <w:rFonts w:cs="Arial"/>
          <w:szCs w:val="18"/>
        </w:rPr>
        <w:t xml:space="preserve"> </w:t>
      </w:r>
      <w:r w:rsidRPr="007A2147">
        <w:rPr>
          <w:rFonts w:eastAsia="Calibri" w:cs="Arial"/>
          <w:bCs/>
          <w:szCs w:val="18"/>
        </w:rPr>
        <w:t xml:space="preserve">Health Information Technology: Standards, Implementation Specifications, and Certification Criteria for Electronic Health Record Technology, 2014 Edition; Revisions to the Permanent Certification Program for Health Information Technology, </w:t>
      </w:r>
      <w:r w:rsidRPr="007A2147">
        <w:rPr>
          <w:szCs w:val="18"/>
        </w:rPr>
        <w:t xml:space="preserve">Final </w:t>
      </w:r>
      <w:r w:rsidRPr="007A2147">
        <w:rPr>
          <w:rFonts w:cs="Arial"/>
          <w:szCs w:val="18"/>
        </w:rPr>
        <w:t>Rule</w:t>
      </w:r>
    </w:p>
  </w:footnote>
  <w:footnote w:id="2">
    <w:p w:rsidR="000E2C81" w:rsidRDefault="000E2C81" w:rsidP="000E2C81">
      <w:pPr>
        <w:pStyle w:val="FootnoteText"/>
        <w:ind w:left="90" w:hanging="90"/>
      </w:pPr>
      <w:r>
        <w:rPr>
          <w:rStyle w:val="FootnoteReference"/>
        </w:rPr>
        <w:footnoteRef/>
      </w:r>
      <w:r>
        <w:t xml:space="preserve"> Disclaimer: Certain commercial products may be identified in this document. Such identification does not imply recommendation or endorsement by ONC. </w:t>
      </w:r>
    </w:p>
    <w:p w:rsidR="000E2C81" w:rsidRDefault="000E2C81" w:rsidP="000E2C81">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96C" w:rsidRDefault="00B6496C" w:rsidP="00E3445A">
    <w:pPr>
      <w:pStyle w:val="Header"/>
    </w:pPr>
    <w:r>
      <w:t xml:space="preserve">Test Procedure for </w:t>
    </w:r>
    <w:r w:rsidR="001F7050" w:rsidRPr="000041BE">
      <w:rPr>
        <w:rFonts w:cs="Calibri"/>
      </w:rPr>
      <w:t>§</w:t>
    </w:r>
    <w:r w:rsidR="001F7050" w:rsidRPr="007B4536">
      <w:rPr>
        <w:rFonts w:cs="Calibri"/>
      </w:rPr>
      <w:t>170.314(f</w:t>
    </w:r>
    <w:proofErr w:type="gramStart"/>
    <w:r w:rsidR="001F7050" w:rsidRPr="007B4536">
      <w:rPr>
        <w:rFonts w:cs="Calibri"/>
      </w:rPr>
      <w:t>)(</w:t>
    </w:r>
    <w:proofErr w:type="gramEnd"/>
    <w:r w:rsidR="001F7050" w:rsidRPr="007B4536">
      <w:rPr>
        <w:rFonts w:cs="Calibri"/>
      </w:rPr>
      <w:t>2) Transmission to immunization registries</w:t>
    </w:r>
  </w:p>
  <w:p w:rsidR="00B6496C" w:rsidRDefault="003A51EB">
    <w:pPr>
      <w:pStyle w:val="Header"/>
    </w:pPr>
    <w:r>
      <w:t xml:space="preserve">INTERNAL </w:t>
    </w:r>
    <w:r w:rsidR="00453496">
      <w:t>DRAFT</w:t>
    </w:r>
    <w:r w:rsidR="00B6496C">
      <w:t xml:space="preserve"> Version </w:t>
    </w:r>
    <w:r w:rsidR="00453496">
      <w:t>0</w:t>
    </w:r>
    <w:r w:rsidR="00B6496C">
      <w:t>.</w:t>
    </w:r>
    <w:r w:rsidR="00026F2E">
      <w:t>7</w:t>
    </w:r>
    <w:r w:rsidR="00B6496C">
      <w:t xml:space="preserve"> </w:t>
    </w:r>
    <w:r w:rsidR="00B6496C" w:rsidRPr="00511350">
      <w:sym w:font="Webdings" w:char="F03C"/>
    </w:r>
    <w:r w:rsidR="00B6496C">
      <w:t xml:space="preserve"> </w:t>
    </w:r>
    <w:r w:rsidR="00026F2E">
      <w:t>September 5</w:t>
    </w:r>
    <w:r w:rsidR="00B6496C">
      <w:t>, 201</w:t>
    </w:r>
    <w:r w:rsidR="00453496">
      <w:t>2</w:t>
    </w:r>
    <w:r w:rsidR="00B6496C">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C3590C"/>
    <w:multiLevelType w:val="hybridMultilevel"/>
    <w:tmpl w:val="D72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24BBF"/>
    <w:multiLevelType w:val="hybridMultilevel"/>
    <w:tmpl w:val="21E23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0680"/>
    <w:multiLevelType w:val="hybridMultilevel"/>
    <w:tmpl w:val="3910947C"/>
    <w:lvl w:ilvl="0" w:tplc="2780AE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F57A1"/>
    <w:multiLevelType w:val="hybridMultilevel"/>
    <w:tmpl w:val="2FF29E4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B6A3E"/>
    <w:multiLevelType w:val="hybridMultilevel"/>
    <w:tmpl w:val="DA628E06"/>
    <w:lvl w:ilvl="0" w:tplc="34760366">
      <w:start w:val="1"/>
      <w:numFmt w:val="bullet"/>
      <w:pStyle w:val="0bullet-ss"/>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33645270"/>
    <w:multiLevelType w:val="hybridMultilevel"/>
    <w:tmpl w:val="12A24182"/>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0">
    <w:nsid w:val="39DF6B04"/>
    <w:multiLevelType w:val="hybridMultilevel"/>
    <w:tmpl w:val="295401BC"/>
    <w:lvl w:ilvl="0" w:tplc="2780AEA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3C234ED7"/>
    <w:multiLevelType w:val="hybridMultilevel"/>
    <w:tmpl w:val="140EC902"/>
    <w:lvl w:ilvl="0" w:tplc="34760366">
      <w:start w:val="1"/>
      <w:numFmt w:val="bullet"/>
      <w:pStyle w:val="table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1F76CAE"/>
    <w:multiLevelType w:val="hybridMultilevel"/>
    <w:tmpl w:val="245E7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1F930B3"/>
    <w:multiLevelType w:val="hybridMultilevel"/>
    <w:tmpl w:val="0BAAED48"/>
    <w:lvl w:ilvl="0" w:tplc="FFFFFFFF">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14">
    <w:nsid w:val="482C7D50"/>
    <w:multiLevelType w:val="hybridMultilevel"/>
    <w:tmpl w:val="4E324F9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2780AEAE"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8480B1A"/>
    <w:multiLevelType w:val="hybridMultilevel"/>
    <w:tmpl w:val="C5F49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D1A035A"/>
    <w:multiLevelType w:val="hybridMultilevel"/>
    <w:tmpl w:val="D978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C51F3F"/>
    <w:multiLevelType w:val="hybridMultilevel"/>
    <w:tmpl w:val="DDDA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442A4"/>
    <w:multiLevelType w:val="hybridMultilevel"/>
    <w:tmpl w:val="B1B268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914026A"/>
    <w:multiLevelType w:val="hybridMultilevel"/>
    <w:tmpl w:val="CCAA5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BE2D08"/>
    <w:multiLevelType w:val="hybridMultilevel"/>
    <w:tmpl w:val="6380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B30FD9"/>
    <w:multiLevelType w:val="hybridMultilevel"/>
    <w:tmpl w:val="96C6AD9C"/>
    <w:lvl w:ilvl="0" w:tplc="B2EEE3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9E205D"/>
    <w:multiLevelType w:val="hybridMultilevel"/>
    <w:tmpl w:val="EE0E4A42"/>
    <w:lvl w:ilvl="0" w:tplc="71C059DE">
      <w:start w:val="1"/>
      <w:numFmt w:val="lowerLetter"/>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E6F399C"/>
    <w:multiLevelType w:val="hybridMultilevel"/>
    <w:tmpl w:val="C33AFD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15"/>
  </w:num>
  <w:num w:numId="4">
    <w:abstractNumId w:val="8"/>
  </w:num>
  <w:num w:numId="5">
    <w:abstractNumId w:val="11"/>
  </w:num>
  <w:num w:numId="6">
    <w:abstractNumId w:val="4"/>
  </w:num>
  <w:num w:numId="7">
    <w:abstractNumId w:val="7"/>
  </w:num>
  <w:num w:numId="8">
    <w:abstractNumId w:val="13"/>
  </w:num>
  <w:num w:numId="9">
    <w:abstractNumId w:val="5"/>
  </w:num>
  <w:num w:numId="10">
    <w:abstractNumId w:val="20"/>
  </w:num>
  <w:num w:numId="11">
    <w:abstractNumId w:val="14"/>
  </w:num>
  <w:num w:numId="12">
    <w:abstractNumId w:val="21"/>
  </w:num>
  <w:num w:numId="13">
    <w:abstractNumId w:val="3"/>
  </w:num>
  <w:num w:numId="14">
    <w:abstractNumId w:val="23"/>
  </w:num>
  <w:num w:numId="15">
    <w:abstractNumId w:val="2"/>
  </w:num>
  <w:num w:numId="16">
    <w:abstractNumId w:val="10"/>
  </w:num>
  <w:num w:numId="17">
    <w:abstractNumId w:val="9"/>
  </w:num>
  <w:num w:numId="18">
    <w:abstractNumId w:val="24"/>
  </w:num>
  <w:num w:numId="19">
    <w:abstractNumId w:val="19"/>
  </w:num>
  <w:num w:numId="20">
    <w:abstractNumId w:val="17"/>
  </w:num>
  <w:num w:numId="21">
    <w:abstractNumId w:val="12"/>
  </w:num>
  <w:num w:numId="22">
    <w:abstractNumId w:val="6"/>
  </w:num>
  <w:num w:numId="23">
    <w:abstractNumId w:val="22"/>
  </w:num>
  <w:num w:numId="24">
    <w:abstractNumId w:val="16"/>
  </w:num>
  <w:num w:numId="25">
    <w:abstractNumId w:val="1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1"/>
  <w:activeWritingStyle w:appName="MSWord" w:lang="fr-FR" w:vendorID="64" w:dllVersion="131078" w:nlCheck="1" w:checkStyle="1"/>
  <w:proofState w:spelling="clean" w:grammar="clean"/>
  <w:stylePaneFormatFilter w:val="3F01"/>
  <w:defaultTabStop w:val="720"/>
  <w:defaultTableStyle w:val="NISTTable"/>
  <w:drawingGridHorizontalSpacing w:val="120"/>
  <w:displayHorizontalDrawingGridEvery w:val="2"/>
  <w:characterSpacingControl w:val="doNotCompress"/>
  <w:hdrShapeDefaults>
    <o:shapedefaults v:ext="edit" spidmax="8194">
      <o:colormru v:ext="edit" colors="#069,#0b4274,#369,#7e0407"/>
    </o:shapedefaults>
  </w:hdrShapeDefaults>
  <w:footnotePr>
    <w:footnote w:id="-1"/>
    <w:footnote w:id="0"/>
  </w:footnotePr>
  <w:endnotePr>
    <w:endnote w:id="-1"/>
    <w:endnote w:id="0"/>
  </w:endnotePr>
  <w:compat/>
  <w:rsids>
    <w:rsidRoot w:val="001F39E9"/>
    <w:rsid w:val="000019E9"/>
    <w:rsid w:val="00004EA3"/>
    <w:rsid w:val="00004EFF"/>
    <w:rsid w:val="00006358"/>
    <w:rsid w:val="000064C5"/>
    <w:rsid w:val="00006549"/>
    <w:rsid w:val="00010FF2"/>
    <w:rsid w:val="0001344E"/>
    <w:rsid w:val="00015B02"/>
    <w:rsid w:val="00017800"/>
    <w:rsid w:val="000239F8"/>
    <w:rsid w:val="00025824"/>
    <w:rsid w:val="00026D6D"/>
    <w:rsid w:val="00026F2E"/>
    <w:rsid w:val="00027710"/>
    <w:rsid w:val="00030A50"/>
    <w:rsid w:val="00032369"/>
    <w:rsid w:val="00034D0C"/>
    <w:rsid w:val="00035705"/>
    <w:rsid w:val="00035C12"/>
    <w:rsid w:val="00040C7E"/>
    <w:rsid w:val="00042943"/>
    <w:rsid w:val="00043A0D"/>
    <w:rsid w:val="00044262"/>
    <w:rsid w:val="000471D8"/>
    <w:rsid w:val="000475C1"/>
    <w:rsid w:val="000509EE"/>
    <w:rsid w:val="000536F5"/>
    <w:rsid w:val="00054C8F"/>
    <w:rsid w:val="000554AC"/>
    <w:rsid w:val="00056C0B"/>
    <w:rsid w:val="00056D6B"/>
    <w:rsid w:val="00062541"/>
    <w:rsid w:val="000626DD"/>
    <w:rsid w:val="00065531"/>
    <w:rsid w:val="0006639B"/>
    <w:rsid w:val="00066736"/>
    <w:rsid w:val="00070131"/>
    <w:rsid w:val="00071362"/>
    <w:rsid w:val="00071726"/>
    <w:rsid w:val="00071B5E"/>
    <w:rsid w:val="000721F0"/>
    <w:rsid w:val="000725D8"/>
    <w:rsid w:val="00073C98"/>
    <w:rsid w:val="00074B88"/>
    <w:rsid w:val="00074E68"/>
    <w:rsid w:val="00075B55"/>
    <w:rsid w:val="000772D0"/>
    <w:rsid w:val="0008096F"/>
    <w:rsid w:val="00080DC1"/>
    <w:rsid w:val="00083590"/>
    <w:rsid w:val="000851F7"/>
    <w:rsid w:val="0008593D"/>
    <w:rsid w:val="00085C62"/>
    <w:rsid w:val="00090171"/>
    <w:rsid w:val="00090C27"/>
    <w:rsid w:val="000A060D"/>
    <w:rsid w:val="000A1218"/>
    <w:rsid w:val="000A4660"/>
    <w:rsid w:val="000A5D11"/>
    <w:rsid w:val="000A5E1C"/>
    <w:rsid w:val="000B040D"/>
    <w:rsid w:val="000B08EC"/>
    <w:rsid w:val="000B1574"/>
    <w:rsid w:val="000B21E3"/>
    <w:rsid w:val="000B6662"/>
    <w:rsid w:val="000B6895"/>
    <w:rsid w:val="000B74FE"/>
    <w:rsid w:val="000C29D5"/>
    <w:rsid w:val="000C2E7D"/>
    <w:rsid w:val="000C305B"/>
    <w:rsid w:val="000C4139"/>
    <w:rsid w:val="000C4B2F"/>
    <w:rsid w:val="000C5E1F"/>
    <w:rsid w:val="000C6CA1"/>
    <w:rsid w:val="000C7D20"/>
    <w:rsid w:val="000D27A7"/>
    <w:rsid w:val="000D2E70"/>
    <w:rsid w:val="000D3371"/>
    <w:rsid w:val="000D393D"/>
    <w:rsid w:val="000D5779"/>
    <w:rsid w:val="000E2A00"/>
    <w:rsid w:val="000E2C81"/>
    <w:rsid w:val="000E34D6"/>
    <w:rsid w:val="000E4709"/>
    <w:rsid w:val="000E6AED"/>
    <w:rsid w:val="000F1FDE"/>
    <w:rsid w:val="000F4F86"/>
    <w:rsid w:val="000F7F26"/>
    <w:rsid w:val="000F7F5F"/>
    <w:rsid w:val="001024A9"/>
    <w:rsid w:val="00103C5C"/>
    <w:rsid w:val="001072A6"/>
    <w:rsid w:val="00107C19"/>
    <w:rsid w:val="00112294"/>
    <w:rsid w:val="001130C3"/>
    <w:rsid w:val="00116693"/>
    <w:rsid w:val="00117136"/>
    <w:rsid w:val="00121682"/>
    <w:rsid w:val="00121F6E"/>
    <w:rsid w:val="00122085"/>
    <w:rsid w:val="0012290C"/>
    <w:rsid w:val="00124855"/>
    <w:rsid w:val="00125570"/>
    <w:rsid w:val="0012711A"/>
    <w:rsid w:val="001276E9"/>
    <w:rsid w:val="00130D6B"/>
    <w:rsid w:val="00131246"/>
    <w:rsid w:val="001324DD"/>
    <w:rsid w:val="00143266"/>
    <w:rsid w:val="00143611"/>
    <w:rsid w:val="001463C9"/>
    <w:rsid w:val="00146F52"/>
    <w:rsid w:val="00147C38"/>
    <w:rsid w:val="001517F5"/>
    <w:rsid w:val="00152178"/>
    <w:rsid w:val="001532AB"/>
    <w:rsid w:val="001570E6"/>
    <w:rsid w:val="00161139"/>
    <w:rsid w:val="00165ED2"/>
    <w:rsid w:val="00166655"/>
    <w:rsid w:val="001666D3"/>
    <w:rsid w:val="00166F61"/>
    <w:rsid w:val="00173A0D"/>
    <w:rsid w:val="00174666"/>
    <w:rsid w:val="00175913"/>
    <w:rsid w:val="00176C3F"/>
    <w:rsid w:val="00177408"/>
    <w:rsid w:val="00180193"/>
    <w:rsid w:val="00180A4A"/>
    <w:rsid w:val="00181756"/>
    <w:rsid w:val="00182DAF"/>
    <w:rsid w:val="00184327"/>
    <w:rsid w:val="00184B16"/>
    <w:rsid w:val="00184B8A"/>
    <w:rsid w:val="001927BD"/>
    <w:rsid w:val="00192843"/>
    <w:rsid w:val="00195A60"/>
    <w:rsid w:val="00197149"/>
    <w:rsid w:val="00197507"/>
    <w:rsid w:val="001A1551"/>
    <w:rsid w:val="001A3CED"/>
    <w:rsid w:val="001A6280"/>
    <w:rsid w:val="001A76CB"/>
    <w:rsid w:val="001B0A07"/>
    <w:rsid w:val="001B3787"/>
    <w:rsid w:val="001B3E2F"/>
    <w:rsid w:val="001B58FC"/>
    <w:rsid w:val="001B6E9D"/>
    <w:rsid w:val="001B7D1D"/>
    <w:rsid w:val="001C0038"/>
    <w:rsid w:val="001C0492"/>
    <w:rsid w:val="001C13C5"/>
    <w:rsid w:val="001C26B2"/>
    <w:rsid w:val="001C43E1"/>
    <w:rsid w:val="001C69BD"/>
    <w:rsid w:val="001D3FE4"/>
    <w:rsid w:val="001D4781"/>
    <w:rsid w:val="001D5B7C"/>
    <w:rsid w:val="001D5DDA"/>
    <w:rsid w:val="001E0122"/>
    <w:rsid w:val="001E2523"/>
    <w:rsid w:val="001E2E15"/>
    <w:rsid w:val="001E65F2"/>
    <w:rsid w:val="001F04CE"/>
    <w:rsid w:val="001F0E3B"/>
    <w:rsid w:val="001F25E0"/>
    <w:rsid w:val="001F39E9"/>
    <w:rsid w:val="001F4DE9"/>
    <w:rsid w:val="001F7050"/>
    <w:rsid w:val="002004B6"/>
    <w:rsid w:val="0020328F"/>
    <w:rsid w:val="002051F2"/>
    <w:rsid w:val="00210513"/>
    <w:rsid w:val="00210896"/>
    <w:rsid w:val="002115B6"/>
    <w:rsid w:val="002127DB"/>
    <w:rsid w:val="002130BA"/>
    <w:rsid w:val="00216944"/>
    <w:rsid w:val="002207A4"/>
    <w:rsid w:val="00222C10"/>
    <w:rsid w:val="0022778B"/>
    <w:rsid w:val="00230857"/>
    <w:rsid w:val="002316E4"/>
    <w:rsid w:val="0023605A"/>
    <w:rsid w:val="002468C4"/>
    <w:rsid w:val="002479D9"/>
    <w:rsid w:val="002500E0"/>
    <w:rsid w:val="00251070"/>
    <w:rsid w:val="002532E3"/>
    <w:rsid w:val="00254DD9"/>
    <w:rsid w:val="0025565F"/>
    <w:rsid w:val="00257446"/>
    <w:rsid w:val="002626B6"/>
    <w:rsid w:val="002642A5"/>
    <w:rsid w:val="00264334"/>
    <w:rsid w:val="0026438E"/>
    <w:rsid w:val="00265333"/>
    <w:rsid w:val="00270704"/>
    <w:rsid w:val="00271270"/>
    <w:rsid w:val="00273556"/>
    <w:rsid w:val="00275664"/>
    <w:rsid w:val="00282C7E"/>
    <w:rsid w:val="00284173"/>
    <w:rsid w:val="002955EF"/>
    <w:rsid w:val="0029602B"/>
    <w:rsid w:val="002970FC"/>
    <w:rsid w:val="002A00B4"/>
    <w:rsid w:val="002A1674"/>
    <w:rsid w:val="002A5D54"/>
    <w:rsid w:val="002A6126"/>
    <w:rsid w:val="002B03A7"/>
    <w:rsid w:val="002B0BA3"/>
    <w:rsid w:val="002B192A"/>
    <w:rsid w:val="002B2015"/>
    <w:rsid w:val="002B2A3C"/>
    <w:rsid w:val="002B4A55"/>
    <w:rsid w:val="002C53A0"/>
    <w:rsid w:val="002C7707"/>
    <w:rsid w:val="002D0590"/>
    <w:rsid w:val="002D0730"/>
    <w:rsid w:val="002D13DB"/>
    <w:rsid w:val="002D34DE"/>
    <w:rsid w:val="002E0124"/>
    <w:rsid w:val="002E195E"/>
    <w:rsid w:val="002E1FA7"/>
    <w:rsid w:val="002E2DAA"/>
    <w:rsid w:val="002E551D"/>
    <w:rsid w:val="002E678D"/>
    <w:rsid w:val="002E7DED"/>
    <w:rsid w:val="002F2D4A"/>
    <w:rsid w:val="002F355D"/>
    <w:rsid w:val="002F407B"/>
    <w:rsid w:val="002F45A0"/>
    <w:rsid w:val="00302A5F"/>
    <w:rsid w:val="00303E56"/>
    <w:rsid w:val="00304D2B"/>
    <w:rsid w:val="0030758A"/>
    <w:rsid w:val="00307C0F"/>
    <w:rsid w:val="00311792"/>
    <w:rsid w:val="00311808"/>
    <w:rsid w:val="00316DF9"/>
    <w:rsid w:val="00317A5C"/>
    <w:rsid w:val="00320B8F"/>
    <w:rsid w:val="003216F5"/>
    <w:rsid w:val="003229DE"/>
    <w:rsid w:val="003238A8"/>
    <w:rsid w:val="003240FE"/>
    <w:rsid w:val="0032508D"/>
    <w:rsid w:val="003270FD"/>
    <w:rsid w:val="00330308"/>
    <w:rsid w:val="003322EF"/>
    <w:rsid w:val="003352EF"/>
    <w:rsid w:val="00336878"/>
    <w:rsid w:val="00337A38"/>
    <w:rsid w:val="00337B81"/>
    <w:rsid w:val="00340811"/>
    <w:rsid w:val="0034184C"/>
    <w:rsid w:val="00342D4A"/>
    <w:rsid w:val="00345821"/>
    <w:rsid w:val="00346065"/>
    <w:rsid w:val="00346F7A"/>
    <w:rsid w:val="00353807"/>
    <w:rsid w:val="00354451"/>
    <w:rsid w:val="003552BC"/>
    <w:rsid w:val="00356DB1"/>
    <w:rsid w:val="00361C07"/>
    <w:rsid w:val="00361D40"/>
    <w:rsid w:val="00362501"/>
    <w:rsid w:val="00363C9B"/>
    <w:rsid w:val="003655ED"/>
    <w:rsid w:val="0036699C"/>
    <w:rsid w:val="00367C9A"/>
    <w:rsid w:val="00371513"/>
    <w:rsid w:val="00372124"/>
    <w:rsid w:val="00373871"/>
    <w:rsid w:val="0037431A"/>
    <w:rsid w:val="00374623"/>
    <w:rsid w:val="00375073"/>
    <w:rsid w:val="0037580F"/>
    <w:rsid w:val="00376013"/>
    <w:rsid w:val="00377390"/>
    <w:rsid w:val="00377C64"/>
    <w:rsid w:val="003801AB"/>
    <w:rsid w:val="0038023C"/>
    <w:rsid w:val="003856F5"/>
    <w:rsid w:val="00385C33"/>
    <w:rsid w:val="00390BB8"/>
    <w:rsid w:val="00393B8A"/>
    <w:rsid w:val="00396D17"/>
    <w:rsid w:val="003971B0"/>
    <w:rsid w:val="003A3D35"/>
    <w:rsid w:val="003A51EB"/>
    <w:rsid w:val="003A5B77"/>
    <w:rsid w:val="003A5EB5"/>
    <w:rsid w:val="003B1179"/>
    <w:rsid w:val="003B14C8"/>
    <w:rsid w:val="003B1B56"/>
    <w:rsid w:val="003B2692"/>
    <w:rsid w:val="003B6DDA"/>
    <w:rsid w:val="003B747E"/>
    <w:rsid w:val="003C04C9"/>
    <w:rsid w:val="003C2A9E"/>
    <w:rsid w:val="003C4B37"/>
    <w:rsid w:val="003C512F"/>
    <w:rsid w:val="003D2755"/>
    <w:rsid w:val="003D2C51"/>
    <w:rsid w:val="003D4285"/>
    <w:rsid w:val="003D56E6"/>
    <w:rsid w:val="003D56EF"/>
    <w:rsid w:val="003D63C7"/>
    <w:rsid w:val="003D63FF"/>
    <w:rsid w:val="003D6F8B"/>
    <w:rsid w:val="003D7B79"/>
    <w:rsid w:val="003D7BC8"/>
    <w:rsid w:val="003E0398"/>
    <w:rsid w:val="003E0BED"/>
    <w:rsid w:val="003E1766"/>
    <w:rsid w:val="003E253A"/>
    <w:rsid w:val="003E3EEC"/>
    <w:rsid w:val="003E44E2"/>
    <w:rsid w:val="003E4A04"/>
    <w:rsid w:val="003E4F59"/>
    <w:rsid w:val="003E5189"/>
    <w:rsid w:val="003E5562"/>
    <w:rsid w:val="003F13D1"/>
    <w:rsid w:val="003F2779"/>
    <w:rsid w:val="003F43B3"/>
    <w:rsid w:val="003F495E"/>
    <w:rsid w:val="00400847"/>
    <w:rsid w:val="00400BD5"/>
    <w:rsid w:val="004011FE"/>
    <w:rsid w:val="0040127F"/>
    <w:rsid w:val="00401ED1"/>
    <w:rsid w:val="00402A29"/>
    <w:rsid w:val="00402F9B"/>
    <w:rsid w:val="004032F8"/>
    <w:rsid w:val="00411C47"/>
    <w:rsid w:val="0041466D"/>
    <w:rsid w:val="00416519"/>
    <w:rsid w:val="00416A97"/>
    <w:rsid w:val="00417BE7"/>
    <w:rsid w:val="004207A4"/>
    <w:rsid w:val="004211A1"/>
    <w:rsid w:val="00421EEB"/>
    <w:rsid w:val="00422200"/>
    <w:rsid w:val="0042790A"/>
    <w:rsid w:val="004326D0"/>
    <w:rsid w:val="004345C4"/>
    <w:rsid w:val="00434640"/>
    <w:rsid w:val="004349FC"/>
    <w:rsid w:val="00434DDD"/>
    <w:rsid w:val="0044197A"/>
    <w:rsid w:val="00445183"/>
    <w:rsid w:val="0044627A"/>
    <w:rsid w:val="004467BD"/>
    <w:rsid w:val="0044750E"/>
    <w:rsid w:val="00450C94"/>
    <w:rsid w:val="004531CD"/>
    <w:rsid w:val="00453496"/>
    <w:rsid w:val="00456483"/>
    <w:rsid w:val="00460FF0"/>
    <w:rsid w:val="0046225B"/>
    <w:rsid w:val="00462B4D"/>
    <w:rsid w:val="0046303F"/>
    <w:rsid w:val="00464024"/>
    <w:rsid w:val="00464531"/>
    <w:rsid w:val="00467871"/>
    <w:rsid w:val="00471FB8"/>
    <w:rsid w:val="0047222F"/>
    <w:rsid w:val="004755F0"/>
    <w:rsid w:val="00480F2C"/>
    <w:rsid w:val="004860FE"/>
    <w:rsid w:val="004861F8"/>
    <w:rsid w:val="00492346"/>
    <w:rsid w:val="0049462B"/>
    <w:rsid w:val="004959EE"/>
    <w:rsid w:val="004979E0"/>
    <w:rsid w:val="004A0B23"/>
    <w:rsid w:val="004A10F5"/>
    <w:rsid w:val="004A1489"/>
    <w:rsid w:val="004A1BF8"/>
    <w:rsid w:val="004B0FE6"/>
    <w:rsid w:val="004B1F15"/>
    <w:rsid w:val="004B2DCD"/>
    <w:rsid w:val="004B61C9"/>
    <w:rsid w:val="004B7BD6"/>
    <w:rsid w:val="004C11DB"/>
    <w:rsid w:val="004C1D70"/>
    <w:rsid w:val="004C209C"/>
    <w:rsid w:val="004C4B1D"/>
    <w:rsid w:val="004C7636"/>
    <w:rsid w:val="004D10A9"/>
    <w:rsid w:val="004D2347"/>
    <w:rsid w:val="004D3A38"/>
    <w:rsid w:val="004D7F9F"/>
    <w:rsid w:val="004E1901"/>
    <w:rsid w:val="004E1E41"/>
    <w:rsid w:val="004E445F"/>
    <w:rsid w:val="004E4FA3"/>
    <w:rsid w:val="004E50F3"/>
    <w:rsid w:val="004F16BD"/>
    <w:rsid w:val="004F18C6"/>
    <w:rsid w:val="004F667F"/>
    <w:rsid w:val="005001A6"/>
    <w:rsid w:val="00500C63"/>
    <w:rsid w:val="00500EC4"/>
    <w:rsid w:val="00502FE9"/>
    <w:rsid w:val="00504E00"/>
    <w:rsid w:val="00504F73"/>
    <w:rsid w:val="00511052"/>
    <w:rsid w:val="00511350"/>
    <w:rsid w:val="00511F97"/>
    <w:rsid w:val="00512CA3"/>
    <w:rsid w:val="00513B94"/>
    <w:rsid w:val="00515C52"/>
    <w:rsid w:val="00520F10"/>
    <w:rsid w:val="00523495"/>
    <w:rsid w:val="00525528"/>
    <w:rsid w:val="0052644D"/>
    <w:rsid w:val="00530D2D"/>
    <w:rsid w:val="00531A8F"/>
    <w:rsid w:val="00533F8B"/>
    <w:rsid w:val="00535618"/>
    <w:rsid w:val="005363A7"/>
    <w:rsid w:val="0053799C"/>
    <w:rsid w:val="00544B7B"/>
    <w:rsid w:val="0054587A"/>
    <w:rsid w:val="00546AC0"/>
    <w:rsid w:val="00547654"/>
    <w:rsid w:val="005509C7"/>
    <w:rsid w:val="00551C6D"/>
    <w:rsid w:val="00552D9F"/>
    <w:rsid w:val="00552E07"/>
    <w:rsid w:val="00553DED"/>
    <w:rsid w:val="0055522E"/>
    <w:rsid w:val="00556783"/>
    <w:rsid w:val="00557154"/>
    <w:rsid w:val="00560508"/>
    <w:rsid w:val="00560748"/>
    <w:rsid w:val="005610B5"/>
    <w:rsid w:val="00562349"/>
    <w:rsid w:val="005625A4"/>
    <w:rsid w:val="00563533"/>
    <w:rsid w:val="005658C5"/>
    <w:rsid w:val="00566AA8"/>
    <w:rsid w:val="00572C65"/>
    <w:rsid w:val="00572DA5"/>
    <w:rsid w:val="0057388C"/>
    <w:rsid w:val="0057678E"/>
    <w:rsid w:val="00580D9C"/>
    <w:rsid w:val="005845F2"/>
    <w:rsid w:val="005865DB"/>
    <w:rsid w:val="00590066"/>
    <w:rsid w:val="00590715"/>
    <w:rsid w:val="00592285"/>
    <w:rsid w:val="00595C8D"/>
    <w:rsid w:val="00597FD1"/>
    <w:rsid w:val="005A5607"/>
    <w:rsid w:val="005A6546"/>
    <w:rsid w:val="005B0637"/>
    <w:rsid w:val="005B113D"/>
    <w:rsid w:val="005B1560"/>
    <w:rsid w:val="005C0928"/>
    <w:rsid w:val="005C241C"/>
    <w:rsid w:val="005C396A"/>
    <w:rsid w:val="005C4F9D"/>
    <w:rsid w:val="005C62D2"/>
    <w:rsid w:val="005C7D77"/>
    <w:rsid w:val="005D2CB7"/>
    <w:rsid w:val="005D4CF8"/>
    <w:rsid w:val="005D4E15"/>
    <w:rsid w:val="005D5E8D"/>
    <w:rsid w:val="005D61A6"/>
    <w:rsid w:val="005E0FFC"/>
    <w:rsid w:val="005E755E"/>
    <w:rsid w:val="005E79D9"/>
    <w:rsid w:val="005F0EB0"/>
    <w:rsid w:val="005F33DE"/>
    <w:rsid w:val="005F3BA1"/>
    <w:rsid w:val="005F5058"/>
    <w:rsid w:val="005F52C4"/>
    <w:rsid w:val="005F5EF9"/>
    <w:rsid w:val="005F7D47"/>
    <w:rsid w:val="00601F2C"/>
    <w:rsid w:val="00602EFC"/>
    <w:rsid w:val="00604084"/>
    <w:rsid w:val="006056A3"/>
    <w:rsid w:val="00606A16"/>
    <w:rsid w:val="006073DD"/>
    <w:rsid w:val="00610873"/>
    <w:rsid w:val="006109BD"/>
    <w:rsid w:val="006120B8"/>
    <w:rsid w:val="006120BA"/>
    <w:rsid w:val="006150DB"/>
    <w:rsid w:val="00616110"/>
    <w:rsid w:val="00616991"/>
    <w:rsid w:val="00621CE9"/>
    <w:rsid w:val="006254B9"/>
    <w:rsid w:val="006274F0"/>
    <w:rsid w:val="00627C71"/>
    <w:rsid w:val="00627DC0"/>
    <w:rsid w:val="0063136D"/>
    <w:rsid w:val="00631A5E"/>
    <w:rsid w:val="0063636C"/>
    <w:rsid w:val="006404F2"/>
    <w:rsid w:val="00640E81"/>
    <w:rsid w:val="006438DC"/>
    <w:rsid w:val="006447FD"/>
    <w:rsid w:val="00645420"/>
    <w:rsid w:val="0064680F"/>
    <w:rsid w:val="00651E28"/>
    <w:rsid w:val="0065464B"/>
    <w:rsid w:val="006625B7"/>
    <w:rsid w:val="006632C5"/>
    <w:rsid w:val="00670E44"/>
    <w:rsid w:val="00671A51"/>
    <w:rsid w:val="00671C9C"/>
    <w:rsid w:val="00672CA3"/>
    <w:rsid w:val="00673135"/>
    <w:rsid w:val="00674967"/>
    <w:rsid w:val="0067563B"/>
    <w:rsid w:val="00675FD0"/>
    <w:rsid w:val="0068095B"/>
    <w:rsid w:val="00680E2F"/>
    <w:rsid w:val="00684537"/>
    <w:rsid w:val="006859D4"/>
    <w:rsid w:val="006922C2"/>
    <w:rsid w:val="006926FD"/>
    <w:rsid w:val="00692DD4"/>
    <w:rsid w:val="00697454"/>
    <w:rsid w:val="006A0B65"/>
    <w:rsid w:val="006A1906"/>
    <w:rsid w:val="006A2618"/>
    <w:rsid w:val="006A5D09"/>
    <w:rsid w:val="006A7A7D"/>
    <w:rsid w:val="006B009B"/>
    <w:rsid w:val="006B3F0E"/>
    <w:rsid w:val="006B4613"/>
    <w:rsid w:val="006B5141"/>
    <w:rsid w:val="006B6B94"/>
    <w:rsid w:val="006B7AE4"/>
    <w:rsid w:val="006B7F98"/>
    <w:rsid w:val="006C0258"/>
    <w:rsid w:val="006C071A"/>
    <w:rsid w:val="006C5E6F"/>
    <w:rsid w:val="006C6290"/>
    <w:rsid w:val="006C6BF9"/>
    <w:rsid w:val="006D02D8"/>
    <w:rsid w:val="006D0BC8"/>
    <w:rsid w:val="006D1786"/>
    <w:rsid w:val="006D2D00"/>
    <w:rsid w:val="006D3B11"/>
    <w:rsid w:val="006D4620"/>
    <w:rsid w:val="006D6075"/>
    <w:rsid w:val="006D7B93"/>
    <w:rsid w:val="006F0CF9"/>
    <w:rsid w:val="006F158A"/>
    <w:rsid w:val="006F392C"/>
    <w:rsid w:val="006F3E2E"/>
    <w:rsid w:val="006F426D"/>
    <w:rsid w:val="006F4DAC"/>
    <w:rsid w:val="006F60AE"/>
    <w:rsid w:val="00702049"/>
    <w:rsid w:val="0070514D"/>
    <w:rsid w:val="00710182"/>
    <w:rsid w:val="00712054"/>
    <w:rsid w:val="007121F9"/>
    <w:rsid w:val="00712F0F"/>
    <w:rsid w:val="00713E15"/>
    <w:rsid w:val="007165E6"/>
    <w:rsid w:val="00724DBE"/>
    <w:rsid w:val="007254D5"/>
    <w:rsid w:val="00727214"/>
    <w:rsid w:val="007314E7"/>
    <w:rsid w:val="00732298"/>
    <w:rsid w:val="0073695B"/>
    <w:rsid w:val="007378D5"/>
    <w:rsid w:val="00737E9B"/>
    <w:rsid w:val="0074063D"/>
    <w:rsid w:val="00741880"/>
    <w:rsid w:val="00742172"/>
    <w:rsid w:val="007450C5"/>
    <w:rsid w:val="00745214"/>
    <w:rsid w:val="00746FC5"/>
    <w:rsid w:val="0074783F"/>
    <w:rsid w:val="0075096E"/>
    <w:rsid w:val="00751578"/>
    <w:rsid w:val="007528E5"/>
    <w:rsid w:val="0075495A"/>
    <w:rsid w:val="00755BCC"/>
    <w:rsid w:val="00760FC3"/>
    <w:rsid w:val="0076190F"/>
    <w:rsid w:val="0076545B"/>
    <w:rsid w:val="00766132"/>
    <w:rsid w:val="00770E84"/>
    <w:rsid w:val="007723BB"/>
    <w:rsid w:val="007737B2"/>
    <w:rsid w:val="00773C6D"/>
    <w:rsid w:val="0077534A"/>
    <w:rsid w:val="00776EC0"/>
    <w:rsid w:val="00777924"/>
    <w:rsid w:val="00781141"/>
    <w:rsid w:val="007815CA"/>
    <w:rsid w:val="00783D9B"/>
    <w:rsid w:val="007947B0"/>
    <w:rsid w:val="0079510F"/>
    <w:rsid w:val="00795D32"/>
    <w:rsid w:val="0079675E"/>
    <w:rsid w:val="007B0212"/>
    <w:rsid w:val="007B7129"/>
    <w:rsid w:val="007B7F23"/>
    <w:rsid w:val="007C1E20"/>
    <w:rsid w:val="007C2DBC"/>
    <w:rsid w:val="007D2B7B"/>
    <w:rsid w:val="007D54DD"/>
    <w:rsid w:val="007E3F01"/>
    <w:rsid w:val="007E4A5E"/>
    <w:rsid w:val="007E4F86"/>
    <w:rsid w:val="007E6D8B"/>
    <w:rsid w:val="007E71DC"/>
    <w:rsid w:val="007F030B"/>
    <w:rsid w:val="007F3D5A"/>
    <w:rsid w:val="007F4494"/>
    <w:rsid w:val="007F4B00"/>
    <w:rsid w:val="007F6FBA"/>
    <w:rsid w:val="008039C8"/>
    <w:rsid w:val="00803F51"/>
    <w:rsid w:val="008106E8"/>
    <w:rsid w:val="00810B60"/>
    <w:rsid w:val="008144B9"/>
    <w:rsid w:val="0081625F"/>
    <w:rsid w:val="00820FAE"/>
    <w:rsid w:val="00821945"/>
    <w:rsid w:val="00823E95"/>
    <w:rsid w:val="00825B73"/>
    <w:rsid w:val="00827E79"/>
    <w:rsid w:val="008336C5"/>
    <w:rsid w:val="00834898"/>
    <w:rsid w:val="0083516C"/>
    <w:rsid w:val="008353CC"/>
    <w:rsid w:val="00835C56"/>
    <w:rsid w:val="00835FCE"/>
    <w:rsid w:val="00836826"/>
    <w:rsid w:val="008377CC"/>
    <w:rsid w:val="00837B22"/>
    <w:rsid w:val="00837B98"/>
    <w:rsid w:val="00837D6E"/>
    <w:rsid w:val="00841BC2"/>
    <w:rsid w:val="0084233D"/>
    <w:rsid w:val="0084455F"/>
    <w:rsid w:val="00846C45"/>
    <w:rsid w:val="00846F51"/>
    <w:rsid w:val="00847C53"/>
    <w:rsid w:val="00850A0A"/>
    <w:rsid w:val="00850A20"/>
    <w:rsid w:val="008511EB"/>
    <w:rsid w:val="0085135D"/>
    <w:rsid w:val="00853D9F"/>
    <w:rsid w:val="00855495"/>
    <w:rsid w:val="008623BC"/>
    <w:rsid w:val="00863543"/>
    <w:rsid w:val="00870701"/>
    <w:rsid w:val="00875EE2"/>
    <w:rsid w:val="0087625F"/>
    <w:rsid w:val="00876EB0"/>
    <w:rsid w:val="00877081"/>
    <w:rsid w:val="00880BA8"/>
    <w:rsid w:val="0088706B"/>
    <w:rsid w:val="00887732"/>
    <w:rsid w:val="0089154C"/>
    <w:rsid w:val="0089388E"/>
    <w:rsid w:val="00893C0F"/>
    <w:rsid w:val="00894573"/>
    <w:rsid w:val="00895796"/>
    <w:rsid w:val="00895C3D"/>
    <w:rsid w:val="00895F5B"/>
    <w:rsid w:val="00896B00"/>
    <w:rsid w:val="008971F1"/>
    <w:rsid w:val="008972DC"/>
    <w:rsid w:val="008A0918"/>
    <w:rsid w:val="008A2DAA"/>
    <w:rsid w:val="008A33C6"/>
    <w:rsid w:val="008A4CFA"/>
    <w:rsid w:val="008A6192"/>
    <w:rsid w:val="008A6D9F"/>
    <w:rsid w:val="008A7F67"/>
    <w:rsid w:val="008B21D5"/>
    <w:rsid w:val="008B3BD4"/>
    <w:rsid w:val="008B3D35"/>
    <w:rsid w:val="008B451C"/>
    <w:rsid w:val="008B498B"/>
    <w:rsid w:val="008B5482"/>
    <w:rsid w:val="008B6305"/>
    <w:rsid w:val="008B6FE7"/>
    <w:rsid w:val="008C0673"/>
    <w:rsid w:val="008C157C"/>
    <w:rsid w:val="008C1A4D"/>
    <w:rsid w:val="008C2A8F"/>
    <w:rsid w:val="008C367D"/>
    <w:rsid w:val="008C6683"/>
    <w:rsid w:val="008D0189"/>
    <w:rsid w:val="008D075B"/>
    <w:rsid w:val="008D08C8"/>
    <w:rsid w:val="008D22C6"/>
    <w:rsid w:val="008D3AAC"/>
    <w:rsid w:val="008D3D16"/>
    <w:rsid w:val="008D41A0"/>
    <w:rsid w:val="008D4D87"/>
    <w:rsid w:val="008D5393"/>
    <w:rsid w:val="008D5484"/>
    <w:rsid w:val="008D6891"/>
    <w:rsid w:val="008D6C34"/>
    <w:rsid w:val="008D7765"/>
    <w:rsid w:val="008E1720"/>
    <w:rsid w:val="008E3536"/>
    <w:rsid w:val="008E39D0"/>
    <w:rsid w:val="008E454E"/>
    <w:rsid w:val="008E459F"/>
    <w:rsid w:val="008E5508"/>
    <w:rsid w:val="008E7C2F"/>
    <w:rsid w:val="008F37EB"/>
    <w:rsid w:val="008F480D"/>
    <w:rsid w:val="008F568E"/>
    <w:rsid w:val="00900E6F"/>
    <w:rsid w:val="00902B4D"/>
    <w:rsid w:val="00904D9A"/>
    <w:rsid w:val="00910B05"/>
    <w:rsid w:val="009111C6"/>
    <w:rsid w:val="00912253"/>
    <w:rsid w:val="009146BF"/>
    <w:rsid w:val="00916626"/>
    <w:rsid w:val="00917B6A"/>
    <w:rsid w:val="00917C23"/>
    <w:rsid w:val="00920188"/>
    <w:rsid w:val="009205D0"/>
    <w:rsid w:val="009210E8"/>
    <w:rsid w:val="00922F79"/>
    <w:rsid w:val="009254BE"/>
    <w:rsid w:val="00926403"/>
    <w:rsid w:val="00931456"/>
    <w:rsid w:val="009336F2"/>
    <w:rsid w:val="00934348"/>
    <w:rsid w:val="009355A3"/>
    <w:rsid w:val="00940413"/>
    <w:rsid w:val="00940936"/>
    <w:rsid w:val="00942BC4"/>
    <w:rsid w:val="009457CF"/>
    <w:rsid w:val="009513A6"/>
    <w:rsid w:val="009513DA"/>
    <w:rsid w:val="00953BEF"/>
    <w:rsid w:val="009546C7"/>
    <w:rsid w:val="00954E05"/>
    <w:rsid w:val="009554C6"/>
    <w:rsid w:val="0095580D"/>
    <w:rsid w:val="009558BE"/>
    <w:rsid w:val="00956246"/>
    <w:rsid w:val="009626FC"/>
    <w:rsid w:val="00962D58"/>
    <w:rsid w:val="009630A1"/>
    <w:rsid w:val="00965498"/>
    <w:rsid w:val="00970947"/>
    <w:rsid w:val="00971D7F"/>
    <w:rsid w:val="00974B3F"/>
    <w:rsid w:val="009824FA"/>
    <w:rsid w:val="00982E7A"/>
    <w:rsid w:val="00986B82"/>
    <w:rsid w:val="00991704"/>
    <w:rsid w:val="00992AD4"/>
    <w:rsid w:val="00993EF4"/>
    <w:rsid w:val="0099461C"/>
    <w:rsid w:val="009A06B7"/>
    <w:rsid w:val="009A250B"/>
    <w:rsid w:val="009A30BC"/>
    <w:rsid w:val="009A3A83"/>
    <w:rsid w:val="009B1422"/>
    <w:rsid w:val="009B24CE"/>
    <w:rsid w:val="009B34EB"/>
    <w:rsid w:val="009B5E26"/>
    <w:rsid w:val="009B7520"/>
    <w:rsid w:val="009B7D44"/>
    <w:rsid w:val="009C04EE"/>
    <w:rsid w:val="009C07AB"/>
    <w:rsid w:val="009C1309"/>
    <w:rsid w:val="009C3BBD"/>
    <w:rsid w:val="009C5F5E"/>
    <w:rsid w:val="009C752E"/>
    <w:rsid w:val="009D1501"/>
    <w:rsid w:val="009D1E42"/>
    <w:rsid w:val="009D22BC"/>
    <w:rsid w:val="009D45B2"/>
    <w:rsid w:val="009D5066"/>
    <w:rsid w:val="009D6143"/>
    <w:rsid w:val="009D69B4"/>
    <w:rsid w:val="009D6AFE"/>
    <w:rsid w:val="009D7404"/>
    <w:rsid w:val="009E05CE"/>
    <w:rsid w:val="009E1CB2"/>
    <w:rsid w:val="009E2A7C"/>
    <w:rsid w:val="009E30D6"/>
    <w:rsid w:val="009E392B"/>
    <w:rsid w:val="009E5467"/>
    <w:rsid w:val="009E5CF2"/>
    <w:rsid w:val="009E7BC8"/>
    <w:rsid w:val="009F227C"/>
    <w:rsid w:val="009F2D04"/>
    <w:rsid w:val="009F387D"/>
    <w:rsid w:val="009F3F7B"/>
    <w:rsid w:val="009F41BF"/>
    <w:rsid w:val="009F4457"/>
    <w:rsid w:val="009F46D0"/>
    <w:rsid w:val="009F49D2"/>
    <w:rsid w:val="009F5E88"/>
    <w:rsid w:val="009F6D9A"/>
    <w:rsid w:val="00A00F96"/>
    <w:rsid w:val="00A03A0D"/>
    <w:rsid w:val="00A03FA4"/>
    <w:rsid w:val="00A04B36"/>
    <w:rsid w:val="00A055A5"/>
    <w:rsid w:val="00A05853"/>
    <w:rsid w:val="00A071C0"/>
    <w:rsid w:val="00A0742D"/>
    <w:rsid w:val="00A112E0"/>
    <w:rsid w:val="00A14659"/>
    <w:rsid w:val="00A15D31"/>
    <w:rsid w:val="00A163B6"/>
    <w:rsid w:val="00A17340"/>
    <w:rsid w:val="00A17466"/>
    <w:rsid w:val="00A1764A"/>
    <w:rsid w:val="00A27B0D"/>
    <w:rsid w:val="00A34C72"/>
    <w:rsid w:val="00A35522"/>
    <w:rsid w:val="00A406AC"/>
    <w:rsid w:val="00A407DA"/>
    <w:rsid w:val="00A416CC"/>
    <w:rsid w:val="00A451DF"/>
    <w:rsid w:val="00A508FA"/>
    <w:rsid w:val="00A523F4"/>
    <w:rsid w:val="00A5292F"/>
    <w:rsid w:val="00A56757"/>
    <w:rsid w:val="00A65395"/>
    <w:rsid w:val="00A668A6"/>
    <w:rsid w:val="00A67989"/>
    <w:rsid w:val="00A7045C"/>
    <w:rsid w:val="00A70761"/>
    <w:rsid w:val="00A71381"/>
    <w:rsid w:val="00A7141F"/>
    <w:rsid w:val="00A71D77"/>
    <w:rsid w:val="00A72E30"/>
    <w:rsid w:val="00A74259"/>
    <w:rsid w:val="00A75BDA"/>
    <w:rsid w:val="00A76821"/>
    <w:rsid w:val="00A823BD"/>
    <w:rsid w:val="00A86719"/>
    <w:rsid w:val="00A86D28"/>
    <w:rsid w:val="00A87517"/>
    <w:rsid w:val="00A92DED"/>
    <w:rsid w:val="00A93F61"/>
    <w:rsid w:val="00A948E1"/>
    <w:rsid w:val="00AA3660"/>
    <w:rsid w:val="00AA3E1C"/>
    <w:rsid w:val="00AA3EE7"/>
    <w:rsid w:val="00AA4162"/>
    <w:rsid w:val="00AA5B66"/>
    <w:rsid w:val="00AB3D6E"/>
    <w:rsid w:val="00AB458F"/>
    <w:rsid w:val="00AB7205"/>
    <w:rsid w:val="00AB73D5"/>
    <w:rsid w:val="00AC0A09"/>
    <w:rsid w:val="00AC0ACD"/>
    <w:rsid w:val="00AC39A9"/>
    <w:rsid w:val="00AC6325"/>
    <w:rsid w:val="00AC65D0"/>
    <w:rsid w:val="00AD0377"/>
    <w:rsid w:val="00AD0380"/>
    <w:rsid w:val="00AD03BB"/>
    <w:rsid w:val="00AD2E6C"/>
    <w:rsid w:val="00AD5D82"/>
    <w:rsid w:val="00AE05BB"/>
    <w:rsid w:val="00AE2D73"/>
    <w:rsid w:val="00AE4A1B"/>
    <w:rsid w:val="00AE52F0"/>
    <w:rsid w:val="00AE5FE7"/>
    <w:rsid w:val="00AF2501"/>
    <w:rsid w:val="00AF2F58"/>
    <w:rsid w:val="00AF3500"/>
    <w:rsid w:val="00AF4345"/>
    <w:rsid w:val="00AF47BF"/>
    <w:rsid w:val="00AF7D81"/>
    <w:rsid w:val="00B009C4"/>
    <w:rsid w:val="00B02057"/>
    <w:rsid w:val="00B04762"/>
    <w:rsid w:val="00B04E8E"/>
    <w:rsid w:val="00B04FD9"/>
    <w:rsid w:val="00B060F5"/>
    <w:rsid w:val="00B06FCC"/>
    <w:rsid w:val="00B10384"/>
    <w:rsid w:val="00B11C87"/>
    <w:rsid w:val="00B11D9B"/>
    <w:rsid w:val="00B13E1A"/>
    <w:rsid w:val="00B15772"/>
    <w:rsid w:val="00B16D47"/>
    <w:rsid w:val="00B207A5"/>
    <w:rsid w:val="00B20FE5"/>
    <w:rsid w:val="00B3178B"/>
    <w:rsid w:val="00B331AE"/>
    <w:rsid w:val="00B336B0"/>
    <w:rsid w:val="00B34D81"/>
    <w:rsid w:val="00B34F01"/>
    <w:rsid w:val="00B3663F"/>
    <w:rsid w:val="00B378D4"/>
    <w:rsid w:val="00B40747"/>
    <w:rsid w:val="00B42600"/>
    <w:rsid w:val="00B4294C"/>
    <w:rsid w:val="00B4367A"/>
    <w:rsid w:val="00B45548"/>
    <w:rsid w:val="00B460E8"/>
    <w:rsid w:val="00B51009"/>
    <w:rsid w:val="00B51BF2"/>
    <w:rsid w:val="00B53E07"/>
    <w:rsid w:val="00B54951"/>
    <w:rsid w:val="00B54F68"/>
    <w:rsid w:val="00B5543A"/>
    <w:rsid w:val="00B55589"/>
    <w:rsid w:val="00B57E35"/>
    <w:rsid w:val="00B6274E"/>
    <w:rsid w:val="00B6496C"/>
    <w:rsid w:val="00B654F0"/>
    <w:rsid w:val="00B727F8"/>
    <w:rsid w:val="00B738C6"/>
    <w:rsid w:val="00B7511D"/>
    <w:rsid w:val="00B80F6C"/>
    <w:rsid w:val="00B824C6"/>
    <w:rsid w:val="00B8253E"/>
    <w:rsid w:val="00B85E6B"/>
    <w:rsid w:val="00B868C6"/>
    <w:rsid w:val="00B9023A"/>
    <w:rsid w:val="00B958E8"/>
    <w:rsid w:val="00B971ED"/>
    <w:rsid w:val="00B97CD0"/>
    <w:rsid w:val="00BA1875"/>
    <w:rsid w:val="00BA200E"/>
    <w:rsid w:val="00BA2400"/>
    <w:rsid w:val="00BA4DD8"/>
    <w:rsid w:val="00BA6EC3"/>
    <w:rsid w:val="00BB1A7E"/>
    <w:rsid w:val="00BB23A1"/>
    <w:rsid w:val="00BC2711"/>
    <w:rsid w:val="00BC2A48"/>
    <w:rsid w:val="00BC2C56"/>
    <w:rsid w:val="00BC2F18"/>
    <w:rsid w:val="00BC2F7A"/>
    <w:rsid w:val="00BC62D5"/>
    <w:rsid w:val="00BC74BD"/>
    <w:rsid w:val="00BD0385"/>
    <w:rsid w:val="00BD1AE5"/>
    <w:rsid w:val="00BD6240"/>
    <w:rsid w:val="00BD72EF"/>
    <w:rsid w:val="00BD7B87"/>
    <w:rsid w:val="00BE0FB4"/>
    <w:rsid w:val="00BE1DAF"/>
    <w:rsid w:val="00BE39FB"/>
    <w:rsid w:val="00BE52A3"/>
    <w:rsid w:val="00BE6115"/>
    <w:rsid w:val="00BF038D"/>
    <w:rsid w:val="00BF08D1"/>
    <w:rsid w:val="00BF0969"/>
    <w:rsid w:val="00BF225C"/>
    <w:rsid w:val="00BF293A"/>
    <w:rsid w:val="00BF33B8"/>
    <w:rsid w:val="00BF401F"/>
    <w:rsid w:val="00BF43E6"/>
    <w:rsid w:val="00BF465C"/>
    <w:rsid w:val="00BF5469"/>
    <w:rsid w:val="00BF6C1F"/>
    <w:rsid w:val="00BF7331"/>
    <w:rsid w:val="00C00076"/>
    <w:rsid w:val="00C00082"/>
    <w:rsid w:val="00C00A08"/>
    <w:rsid w:val="00C02AAA"/>
    <w:rsid w:val="00C055FA"/>
    <w:rsid w:val="00C06AF3"/>
    <w:rsid w:val="00C1158F"/>
    <w:rsid w:val="00C116AD"/>
    <w:rsid w:val="00C12347"/>
    <w:rsid w:val="00C13CB3"/>
    <w:rsid w:val="00C2158D"/>
    <w:rsid w:val="00C21800"/>
    <w:rsid w:val="00C21D1C"/>
    <w:rsid w:val="00C21D56"/>
    <w:rsid w:val="00C2468E"/>
    <w:rsid w:val="00C24B20"/>
    <w:rsid w:val="00C24CD0"/>
    <w:rsid w:val="00C30FFD"/>
    <w:rsid w:val="00C31352"/>
    <w:rsid w:val="00C327AC"/>
    <w:rsid w:val="00C32DF2"/>
    <w:rsid w:val="00C33DF2"/>
    <w:rsid w:val="00C34292"/>
    <w:rsid w:val="00C346F0"/>
    <w:rsid w:val="00C35FA5"/>
    <w:rsid w:val="00C375FD"/>
    <w:rsid w:val="00C43696"/>
    <w:rsid w:val="00C43A24"/>
    <w:rsid w:val="00C44F1F"/>
    <w:rsid w:val="00C45023"/>
    <w:rsid w:val="00C47FDC"/>
    <w:rsid w:val="00C5461C"/>
    <w:rsid w:val="00C56001"/>
    <w:rsid w:val="00C56F8A"/>
    <w:rsid w:val="00C60A29"/>
    <w:rsid w:val="00C63FC1"/>
    <w:rsid w:val="00C64C04"/>
    <w:rsid w:val="00C65881"/>
    <w:rsid w:val="00C752F4"/>
    <w:rsid w:val="00C772C6"/>
    <w:rsid w:val="00C81C8A"/>
    <w:rsid w:val="00C84C66"/>
    <w:rsid w:val="00C8575F"/>
    <w:rsid w:val="00C86E76"/>
    <w:rsid w:val="00C91BA9"/>
    <w:rsid w:val="00C93CCE"/>
    <w:rsid w:val="00C94624"/>
    <w:rsid w:val="00C95C30"/>
    <w:rsid w:val="00C96666"/>
    <w:rsid w:val="00C9737A"/>
    <w:rsid w:val="00CA0BA5"/>
    <w:rsid w:val="00CA3F15"/>
    <w:rsid w:val="00CA679E"/>
    <w:rsid w:val="00CB22A5"/>
    <w:rsid w:val="00CB2848"/>
    <w:rsid w:val="00CB360C"/>
    <w:rsid w:val="00CB3918"/>
    <w:rsid w:val="00CB61EF"/>
    <w:rsid w:val="00CB7504"/>
    <w:rsid w:val="00CC0D32"/>
    <w:rsid w:val="00CC0EFF"/>
    <w:rsid w:val="00CC3844"/>
    <w:rsid w:val="00CC4323"/>
    <w:rsid w:val="00CC5E5A"/>
    <w:rsid w:val="00CC7A2F"/>
    <w:rsid w:val="00CD1469"/>
    <w:rsid w:val="00CD6BC4"/>
    <w:rsid w:val="00CF0168"/>
    <w:rsid w:val="00CF325B"/>
    <w:rsid w:val="00CF4FCA"/>
    <w:rsid w:val="00CF5B38"/>
    <w:rsid w:val="00CF6CFF"/>
    <w:rsid w:val="00CF708B"/>
    <w:rsid w:val="00D01C93"/>
    <w:rsid w:val="00D042D0"/>
    <w:rsid w:val="00D05644"/>
    <w:rsid w:val="00D060B1"/>
    <w:rsid w:val="00D06FF9"/>
    <w:rsid w:val="00D1024A"/>
    <w:rsid w:val="00D10D3B"/>
    <w:rsid w:val="00D119A2"/>
    <w:rsid w:val="00D16A6F"/>
    <w:rsid w:val="00D17A5F"/>
    <w:rsid w:val="00D20CE0"/>
    <w:rsid w:val="00D20D88"/>
    <w:rsid w:val="00D22DB8"/>
    <w:rsid w:val="00D23F2B"/>
    <w:rsid w:val="00D24504"/>
    <w:rsid w:val="00D25A2B"/>
    <w:rsid w:val="00D26C91"/>
    <w:rsid w:val="00D26D83"/>
    <w:rsid w:val="00D2712A"/>
    <w:rsid w:val="00D316AA"/>
    <w:rsid w:val="00D3266B"/>
    <w:rsid w:val="00D34554"/>
    <w:rsid w:val="00D3455E"/>
    <w:rsid w:val="00D35799"/>
    <w:rsid w:val="00D35D27"/>
    <w:rsid w:val="00D3644F"/>
    <w:rsid w:val="00D368FD"/>
    <w:rsid w:val="00D435A0"/>
    <w:rsid w:val="00D43B29"/>
    <w:rsid w:val="00D5049C"/>
    <w:rsid w:val="00D506EC"/>
    <w:rsid w:val="00D511E7"/>
    <w:rsid w:val="00D52EF1"/>
    <w:rsid w:val="00D55E20"/>
    <w:rsid w:val="00D56C8E"/>
    <w:rsid w:val="00D57F78"/>
    <w:rsid w:val="00D60DEB"/>
    <w:rsid w:val="00D60E1F"/>
    <w:rsid w:val="00D61B7F"/>
    <w:rsid w:val="00D63ABF"/>
    <w:rsid w:val="00D6464E"/>
    <w:rsid w:val="00D64AA0"/>
    <w:rsid w:val="00D65F51"/>
    <w:rsid w:val="00D665E6"/>
    <w:rsid w:val="00D674FC"/>
    <w:rsid w:val="00D67C4E"/>
    <w:rsid w:val="00D71434"/>
    <w:rsid w:val="00D72917"/>
    <w:rsid w:val="00D73326"/>
    <w:rsid w:val="00D752D1"/>
    <w:rsid w:val="00D775DC"/>
    <w:rsid w:val="00D80576"/>
    <w:rsid w:val="00D80F30"/>
    <w:rsid w:val="00D8127C"/>
    <w:rsid w:val="00D81458"/>
    <w:rsid w:val="00D81778"/>
    <w:rsid w:val="00D85363"/>
    <w:rsid w:val="00D866A7"/>
    <w:rsid w:val="00D86C6A"/>
    <w:rsid w:val="00D87946"/>
    <w:rsid w:val="00DA39A9"/>
    <w:rsid w:val="00DA4373"/>
    <w:rsid w:val="00DA5D87"/>
    <w:rsid w:val="00DA5E41"/>
    <w:rsid w:val="00DA75E6"/>
    <w:rsid w:val="00DA7702"/>
    <w:rsid w:val="00DA79F4"/>
    <w:rsid w:val="00DB3790"/>
    <w:rsid w:val="00DB4443"/>
    <w:rsid w:val="00DB56C0"/>
    <w:rsid w:val="00DB59F9"/>
    <w:rsid w:val="00DB71A3"/>
    <w:rsid w:val="00DC357D"/>
    <w:rsid w:val="00DC3CEC"/>
    <w:rsid w:val="00DC5790"/>
    <w:rsid w:val="00DC642F"/>
    <w:rsid w:val="00DD0078"/>
    <w:rsid w:val="00DD540E"/>
    <w:rsid w:val="00DD63AD"/>
    <w:rsid w:val="00DD72E3"/>
    <w:rsid w:val="00DE35C2"/>
    <w:rsid w:val="00DE4D9E"/>
    <w:rsid w:val="00DE770B"/>
    <w:rsid w:val="00DE7E4B"/>
    <w:rsid w:val="00DF1A9E"/>
    <w:rsid w:val="00DF1C75"/>
    <w:rsid w:val="00DF25A0"/>
    <w:rsid w:val="00DF3BD5"/>
    <w:rsid w:val="00DF710B"/>
    <w:rsid w:val="00E01471"/>
    <w:rsid w:val="00E0183A"/>
    <w:rsid w:val="00E0206E"/>
    <w:rsid w:val="00E03314"/>
    <w:rsid w:val="00E04A6E"/>
    <w:rsid w:val="00E0687C"/>
    <w:rsid w:val="00E120A7"/>
    <w:rsid w:val="00E127B7"/>
    <w:rsid w:val="00E149BA"/>
    <w:rsid w:val="00E156BB"/>
    <w:rsid w:val="00E15E55"/>
    <w:rsid w:val="00E15F9B"/>
    <w:rsid w:val="00E16BBC"/>
    <w:rsid w:val="00E220FD"/>
    <w:rsid w:val="00E23AB4"/>
    <w:rsid w:val="00E243A6"/>
    <w:rsid w:val="00E25756"/>
    <w:rsid w:val="00E25BB1"/>
    <w:rsid w:val="00E2602D"/>
    <w:rsid w:val="00E31029"/>
    <w:rsid w:val="00E31C02"/>
    <w:rsid w:val="00E32367"/>
    <w:rsid w:val="00E33543"/>
    <w:rsid w:val="00E34044"/>
    <w:rsid w:val="00E3445A"/>
    <w:rsid w:val="00E3724F"/>
    <w:rsid w:val="00E40745"/>
    <w:rsid w:val="00E41124"/>
    <w:rsid w:val="00E41662"/>
    <w:rsid w:val="00E435BB"/>
    <w:rsid w:val="00E459B7"/>
    <w:rsid w:val="00E4611A"/>
    <w:rsid w:val="00E4634B"/>
    <w:rsid w:val="00E513E1"/>
    <w:rsid w:val="00E51E5A"/>
    <w:rsid w:val="00E52034"/>
    <w:rsid w:val="00E52525"/>
    <w:rsid w:val="00E525E2"/>
    <w:rsid w:val="00E52710"/>
    <w:rsid w:val="00E52F94"/>
    <w:rsid w:val="00E543AD"/>
    <w:rsid w:val="00E56526"/>
    <w:rsid w:val="00E62BC2"/>
    <w:rsid w:val="00E63500"/>
    <w:rsid w:val="00E652F3"/>
    <w:rsid w:val="00E65E6F"/>
    <w:rsid w:val="00E74C7B"/>
    <w:rsid w:val="00E762CD"/>
    <w:rsid w:val="00E76E78"/>
    <w:rsid w:val="00E82CFC"/>
    <w:rsid w:val="00E83BE2"/>
    <w:rsid w:val="00E83CA8"/>
    <w:rsid w:val="00E91AAA"/>
    <w:rsid w:val="00E92813"/>
    <w:rsid w:val="00E938E0"/>
    <w:rsid w:val="00E9518C"/>
    <w:rsid w:val="00E97CE5"/>
    <w:rsid w:val="00EA1AF7"/>
    <w:rsid w:val="00EA1B10"/>
    <w:rsid w:val="00EA1E24"/>
    <w:rsid w:val="00EA3BB8"/>
    <w:rsid w:val="00EA4C02"/>
    <w:rsid w:val="00EA5665"/>
    <w:rsid w:val="00EA5693"/>
    <w:rsid w:val="00EA59B8"/>
    <w:rsid w:val="00EA5F59"/>
    <w:rsid w:val="00EB1DA5"/>
    <w:rsid w:val="00EB332F"/>
    <w:rsid w:val="00EB555F"/>
    <w:rsid w:val="00EB5A70"/>
    <w:rsid w:val="00EC11F9"/>
    <w:rsid w:val="00EC2445"/>
    <w:rsid w:val="00EC3F56"/>
    <w:rsid w:val="00EC52FE"/>
    <w:rsid w:val="00EC6287"/>
    <w:rsid w:val="00EC75AF"/>
    <w:rsid w:val="00EC79EF"/>
    <w:rsid w:val="00ED0C66"/>
    <w:rsid w:val="00ED3A6B"/>
    <w:rsid w:val="00ED5EF5"/>
    <w:rsid w:val="00ED67FC"/>
    <w:rsid w:val="00EE0E59"/>
    <w:rsid w:val="00EE7CA9"/>
    <w:rsid w:val="00EF0434"/>
    <w:rsid w:val="00EF4015"/>
    <w:rsid w:val="00F021C5"/>
    <w:rsid w:val="00F0362A"/>
    <w:rsid w:val="00F065EA"/>
    <w:rsid w:val="00F12AA5"/>
    <w:rsid w:val="00F14470"/>
    <w:rsid w:val="00F15089"/>
    <w:rsid w:val="00F15E34"/>
    <w:rsid w:val="00F22F57"/>
    <w:rsid w:val="00F23C6C"/>
    <w:rsid w:val="00F26852"/>
    <w:rsid w:val="00F30AD0"/>
    <w:rsid w:val="00F35664"/>
    <w:rsid w:val="00F47CBD"/>
    <w:rsid w:val="00F47EAE"/>
    <w:rsid w:val="00F56B01"/>
    <w:rsid w:val="00F611B2"/>
    <w:rsid w:val="00F61635"/>
    <w:rsid w:val="00F64B95"/>
    <w:rsid w:val="00F679F8"/>
    <w:rsid w:val="00F71580"/>
    <w:rsid w:val="00F73B67"/>
    <w:rsid w:val="00F740ED"/>
    <w:rsid w:val="00F82B60"/>
    <w:rsid w:val="00F85417"/>
    <w:rsid w:val="00F85960"/>
    <w:rsid w:val="00F8782F"/>
    <w:rsid w:val="00F91A25"/>
    <w:rsid w:val="00F928EA"/>
    <w:rsid w:val="00F9314B"/>
    <w:rsid w:val="00F946F7"/>
    <w:rsid w:val="00F94C69"/>
    <w:rsid w:val="00F94D5C"/>
    <w:rsid w:val="00F96515"/>
    <w:rsid w:val="00F96769"/>
    <w:rsid w:val="00F97EB6"/>
    <w:rsid w:val="00F97F5D"/>
    <w:rsid w:val="00FA3B09"/>
    <w:rsid w:val="00FA54A0"/>
    <w:rsid w:val="00FA7F4E"/>
    <w:rsid w:val="00FB20A8"/>
    <w:rsid w:val="00FB694A"/>
    <w:rsid w:val="00FB7724"/>
    <w:rsid w:val="00FC09A0"/>
    <w:rsid w:val="00FC1151"/>
    <w:rsid w:val="00FC171B"/>
    <w:rsid w:val="00FC1E07"/>
    <w:rsid w:val="00FC59FE"/>
    <w:rsid w:val="00FC7193"/>
    <w:rsid w:val="00FD0113"/>
    <w:rsid w:val="00FD020E"/>
    <w:rsid w:val="00FD130D"/>
    <w:rsid w:val="00FD5D5A"/>
    <w:rsid w:val="00FD7B0F"/>
    <w:rsid w:val="00FE275F"/>
    <w:rsid w:val="00FE3C14"/>
    <w:rsid w:val="00FE3E35"/>
    <w:rsid w:val="00FE5108"/>
    <w:rsid w:val="00FE5171"/>
    <w:rsid w:val="00FF0950"/>
    <w:rsid w:val="00FF13EE"/>
    <w:rsid w:val="00FF28A6"/>
    <w:rsid w:val="00FF649D"/>
    <w:rsid w:val="00FF6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ru v:ext="edit" colors="#069,#0b4274,#369,#7e04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508"/>
    <w:rPr>
      <w:rFonts w:ascii="Arial" w:hAnsi="Arial"/>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sz w:val="24"/>
      <w:szCs w:val="2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sz w:val="24"/>
      <w:szCs w:val="24"/>
      <w:u w:val="single"/>
    </w:rPr>
  </w:style>
  <w:style w:type="paragraph" w:styleId="Heading6">
    <w:name w:val="heading 6"/>
    <w:basedOn w:val="Normal"/>
    <w:next w:val="Normal"/>
    <w:qFormat/>
    <w:rsid w:val="00E15F9B"/>
    <w:pPr>
      <w:keepNext/>
      <w:keepLines/>
      <w:pageBreakBefore/>
      <w:numPr>
        <w:ilvl w:val="5"/>
        <w:numId w:val="4"/>
      </w:numPr>
      <w:tabs>
        <w:tab w:val="clear" w:pos="1152"/>
        <w:tab w:val="num" w:pos="1980"/>
      </w:tabs>
      <w:spacing w:before="240" w:after="60"/>
      <w:ind w:left="1987" w:hanging="1987"/>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E15F9B"/>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Ind w:w="0" w:type="dxa"/>
      <w:tblBorders>
        <w:top w:val="single" w:sz="4" w:space="0" w:color="448FD4"/>
        <w:bottom w:val="single" w:sz="12" w:space="0" w:color="448FD4"/>
        <w:insideH w:val="single" w:sz="4" w:space="0" w:color="448FD4"/>
      </w:tblBorders>
      <w:tblCellMar>
        <w:top w:w="0" w:type="dxa"/>
        <w:left w:w="115" w:type="dxa"/>
        <w:bottom w:w="0"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semiHidden/>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semiHidden/>
    <w:rsid w:val="00D435A0"/>
    <w:pPr>
      <w:tabs>
        <w:tab w:val="right" w:leader="dot" w:pos="9350"/>
      </w:tabs>
      <w:ind w:left="1080" w:hanging="540"/>
    </w:pPr>
  </w:style>
  <w:style w:type="paragraph" w:styleId="TOC3">
    <w:name w:val="toc 3"/>
    <w:basedOn w:val="Normal"/>
    <w:next w:val="Normal"/>
    <w:autoRedefine/>
    <w:semiHidden/>
    <w:rsid w:val="00E52710"/>
    <w:pPr>
      <w:tabs>
        <w:tab w:val="right" w:leader="dot" w:pos="9350"/>
      </w:tabs>
      <w:ind w:left="1080"/>
    </w:pPr>
  </w:style>
  <w:style w:type="paragraph" w:styleId="TOC4">
    <w:name w:val="toc 4"/>
    <w:basedOn w:val="Normal"/>
    <w:next w:val="Normal"/>
    <w:autoRedefine/>
    <w:semiHidden/>
    <w:rsid w:val="00D435A0"/>
    <w:pPr>
      <w:tabs>
        <w:tab w:val="right" w:leader="dot" w:pos="9350"/>
      </w:tabs>
      <w:ind w:left="2520" w:hanging="810"/>
    </w:pPr>
  </w:style>
  <w:style w:type="character" w:styleId="Hyperlink">
    <w:name w:val="Hyperlink"/>
    <w:rsid w:val="00471FB8"/>
    <w:rPr>
      <w:color w:val="0000FF"/>
      <w:u w:val="single"/>
    </w:rPr>
  </w:style>
  <w:style w:type="paragraph" w:styleId="TableofFigures">
    <w:name w:val="table of figures"/>
    <w:basedOn w:val="Normal"/>
    <w:next w:val="Normal"/>
    <w:semiHidden/>
    <w:rsid w:val="00D435A0"/>
  </w:style>
  <w:style w:type="paragraph" w:customStyle="1" w:styleId="Subheading2">
    <w:name w:val="Subheading 2"/>
    <w:basedOn w:val="Subheading"/>
    <w:next w:val="Normal"/>
    <w:rsid w:val="00456483"/>
    <w:rPr>
      <w:b w:val="0"/>
      <w:i/>
    </w:rPr>
  </w:style>
  <w:style w:type="paragraph" w:customStyle="1" w:styleId="tablebullet">
    <w:name w:val="table bullet"/>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semiHidden/>
    <w:rsid w:val="00166F61"/>
    <w:rPr>
      <w:sz w:val="16"/>
      <w:szCs w:val="16"/>
    </w:rPr>
  </w:style>
  <w:style w:type="paragraph" w:styleId="CommentText">
    <w:name w:val="annotation text"/>
    <w:basedOn w:val="Normal"/>
    <w:semiHidden/>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uiPriority w:val="99"/>
    <w:semiHidden/>
    <w:rsid w:val="001A76CB"/>
    <w:rPr>
      <w:sz w:val="18"/>
    </w:rPr>
  </w:style>
  <w:style w:type="character" w:styleId="FootnoteReference">
    <w:name w:val="footnote reference"/>
    <w:uiPriority w:val="99"/>
    <w:semiHidden/>
    <w:rsid w:val="00A163B6"/>
    <w:rPr>
      <w:vertAlign w:val="superscript"/>
    </w:rPr>
  </w:style>
  <w:style w:type="paragraph" w:styleId="NormalWeb">
    <w:name w:val="Normal (Web)"/>
    <w:basedOn w:val="Normal"/>
    <w:uiPriority w:val="99"/>
    <w:semiHidden/>
    <w:unhideWhenUsed/>
    <w:rsid w:val="00F96515"/>
    <w:pPr>
      <w:spacing w:before="100" w:beforeAutospacing="1" w:after="100" w:afterAutospacing="1"/>
    </w:pPr>
    <w:rPr>
      <w:rFonts w:ascii="Times New Roman" w:hAnsi="Times New Roman"/>
      <w:sz w:val="24"/>
      <w:szCs w:val="24"/>
    </w:rPr>
  </w:style>
  <w:style w:type="paragraph" w:styleId="ListParagraph">
    <w:name w:val="List Paragraph"/>
    <w:basedOn w:val="Normal"/>
    <w:qFormat/>
    <w:rsid w:val="00AC39A9"/>
    <w:pPr>
      <w:autoSpaceDE w:val="0"/>
      <w:autoSpaceDN w:val="0"/>
      <w:adjustRightInd w:val="0"/>
      <w:ind w:left="720"/>
      <w:contextualSpacing/>
    </w:pPr>
    <w:rPr>
      <w:rFonts w:ascii="Calibri" w:eastAsia="Calibri" w:hAnsi="Calibri"/>
      <w:bCs/>
      <w:sz w:val="22"/>
      <w:szCs w:val="22"/>
    </w:rPr>
  </w:style>
  <w:style w:type="paragraph" w:customStyle="1" w:styleId="0bullet-ss">
    <w:name w:val="0 bullet-ss"/>
    <w:basedOn w:val="Normal"/>
    <w:rsid w:val="005D4E15"/>
    <w:pPr>
      <w:numPr>
        <w:numId w:val="7"/>
      </w:numPr>
    </w:pPr>
    <w:rPr>
      <w:sz w:val="22"/>
    </w:rPr>
  </w:style>
  <w:style w:type="paragraph" w:styleId="BodyText">
    <w:name w:val="Body Text"/>
    <w:basedOn w:val="Normal"/>
    <w:rsid w:val="004032F8"/>
    <w:pPr>
      <w:spacing w:after="120"/>
    </w:pPr>
    <w:rPr>
      <w:rFonts w:ascii="Book Antiqua" w:hAnsi="Book Antiqua"/>
      <w:sz w:val="24"/>
    </w:rPr>
  </w:style>
  <w:style w:type="paragraph" w:styleId="Revision">
    <w:name w:val="Revision"/>
    <w:hidden/>
    <w:uiPriority w:val="99"/>
    <w:semiHidden/>
    <w:rsid w:val="00400BD5"/>
    <w:rPr>
      <w:rFonts w:ascii="Arial" w:hAnsi="Arial"/>
    </w:rPr>
  </w:style>
  <w:style w:type="character" w:customStyle="1" w:styleId="FootnoteTextChar">
    <w:name w:val="Footnote Text Char"/>
    <w:link w:val="FootnoteText"/>
    <w:uiPriority w:val="99"/>
    <w:semiHidden/>
    <w:rsid w:val="004979E0"/>
    <w:rPr>
      <w:rFonts w:ascii="Arial" w:hAnsi="Arial"/>
      <w:sz w:val="18"/>
    </w:rPr>
  </w:style>
  <w:style w:type="character" w:customStyle="1" w:styleId="Heading2Char">
    <w:name w:val="Heading 2 Char"/>
    <w:link w:val="Heading2"/>
    <w:uiPriority w:val="99"/>
    <w:rsid w:val="00B336B0"/>
    <w:rPr>
      <w:rFonts w:ascii="Arial Narrow Bold" w:hAnsi="Arial Narrow Bold" w:cs="Arial"/>
      <w:b/>
      <w:bCs/>
      <w:iCs/>
      <w:color w:val="7E0407"/>
      <w:sz w:val="32"/>
      <w:szCs w:val="28"/>
    </w:rPr>
  </w:style>
  <w:style w:type="paragraph" w:styleId="z-TopofForm">
    <w:name w:val="HTML Top of Form"/>
    <w:basedOn w:val="Normal"/>
    <w:next w:val="Normal"/>
    <w:link w:val="z-TopofFormChar"/>
    <w:hidden/>
    <w:uiPriority w:val="99"/>
    <w:unhideWhenUsed/>
    <w:rsid w:val="00E4634B"/>
    <w:pPr>
      <w:pBdr>
        <w:bottom w:val="single" w:sz="6" w:space="1" w:color="auto"/>
      </w:pBdr>
      <w:jc w:val="center"/>
    </w:pPr>
    <w:rPr>
      <w:rFonts w:cs="Arial"/>
      <w:vanish/>
      <w:sz w:val="16"/>
      <w:szCs w:val="16"/>
    </w:rPr>
  </w:style>
  <w:style w:type="character" w:customStyle="1" w:styleId="z-TopofFormChar">
    <w:name w:val="z-Top of Form Char"/>
    <w:link w:val="z-TopofForm"/>
    <w:uiPriority w:val="99"/>
    <w:rsid w:val="00E4634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E4634B"/>
    <w:pPr>
      <w:pBdr>
        <w:top w:val="single" w:sz="6" w:space="1" w:color="auto"/>
      </w:pBdr>
      <w:jc w:val="center"/>
    </w:pPr>
    <w:rPr>
      <w:rFonts w:cs="Arial"/>
      <w:vanish/>
      <w:sz w:val="16"/>
      <w:szCs w:val="16"/>
    </w:rPr>
  </w:style>
  <w:style w:type="character" w:customStyle="1" w:styleId="z-BottomofFormChar">
    <w:name w:val="z-Bottom of Form Char"/>
    <w:link w:val="z-BottomofForm"/>
    <w:uiPriority w:val="99"/>
    <w:rsid w:val="00E4634B"/>
    <w:rPr>
      <w:rFonts w:ascii="Arial" w:hAnsi="Arial" w:cs="Arial"/>
      <w:vanish/>
      <w:sz w:val="16"/>
      <w:szCs w:val="16"/>
    </w:rPr>
  </w:style>
  <w:style w:type="paragraph" w:styleId="NoSpacing">
    <w:name w:val="No Spacing"/>
    <w:uiPriority w:val="99"/>
    <w:qFormat/>
    <w:rsid w:val="006274F0"/>
    <w:rPr>
      <w:rFonts w:ascii="Calibri" w:hAnsi="Calibri"/>
      <w:sz w:val="22"/>
      <w:szCs w:val="22"/>
    </w:rPr>
  </w:style>
  <w:style w:type="paragraph" w:customStyle="1" w:styleId="MediumGrid21">
    <w:name w:val="Medium Grid 21"/>
    <w:semiHidden/>
    <w:qFormat/>
    <w:rsid w:val="00A5292F"/>
    <w:rPr>
      <w:rFonts w:ascii="Calibri" w:eastAsia="Calibri" w:hAnsi="Calibri"/>
      <w:sz w:val="22"/>
      <w:szCs w:val="22"/>
    </w:rPr>
  </w:style>
  <w:style w:type="character" w:styleId="FollowedHyperlink">
    <w:name w:val="FollowedHyperlink"/>
    <w:basedOn w:val="DefaultParagraphFont"/>
    <w:rsid w:val="00D17A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508"/>
    <w:rPr>
      <w:rFonts w:ascii="Arial" w:hAnsi="Arial"/>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sz w:val="24"/>
      <w:szCs w:val="2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sz w:val="24"/>
      <w:szCs w:val="24"/>
      <w:u w:val="single"/>
    </w:rPr>
  </w:style>
  <w:style w:type="paragraph" w:styleId="Heading6">
    <w:name w:val="heading 6"/>
    <w:basedOn w:val="Normal"/>
    <w:next w:val="Normal"/>
    <w:qFormat/>
    <w:rsid w:val="00E15F9B"/>
    <w:pPr>
      <w:keepNext/>
      <w:keepLines/>
      <w:pageBreakBefore/>
      <w:numPr>
        <w:ilvl w:val="5"/>
        <w:numId w:val="4"/>
      </w:numPr>
      <w:tabs>
        <w:tab w:val="clear" w:pos="1152"/>
        <w:tab w:val="num" w:pos="1980"/>
      </w:tabs>
      <w:spacing w:before="240" w:after="60"/>
      <w:ind w:left="1987" w:hanging="1987"/>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E15F9B"/>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Ind w:w="0" w:type="dxa"/>
      <w:tblBorders>
        <w:top w:val="single" w:sz="4" w:space="0" w:color="448FD4"/>
        <w:bottom w:val="single" w:sz="12" w:space="0" w:color="448FD4"/>
        <w:insideH w:val="single" w:sz="4" w:space="0" w:color="448FD4"/>
      </w:tblBorders>
      <w:tblCellMar>
        <w:top w:w="0" w:type="dxa"/>
        <w:left w:w="115" w:type="dxa"/>
        <w:bottom w:w="0"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semiHidden/>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semiHidden/>
    <w:rsid w:val="00D435A0"/>
    <w:pPr>
      <w:tabs>
        <w:tab w:val="right" w:leader="dot" w:pos="9350"/>
      </w:tabs>
      <w:ind w:left="1080" w:hanging="540"/>
    </w:pPr>
  </w:style>
  <w:style w:type="paragraph" w:styleId="TOC3">
    <w:name w:val="toc 3"/>
    <w:basedOn w:val="Normal"/>
    <w:next w:val="Normal"/>
    <w:autoRedefine/>
    <w:semiHidden/>
    <w:rsid w:val="00E52710"/>
    <w:pPr>
      <w:tabs>
        <w:tab w:val="right" w:leader="dot" w:pos="9350"/>
      </w:tabs>
      <w:ind w:left="1080"/>
    </w:pPr>
  </w:style>
  <w:style w:type="paragraph" w:styleId="TOC4">
    <w:name w:val="toc 4"/>
    <w:basedOn w:val="Normal"/>
    <w:next w:val="Normal"/>
    <w:autoRedefine/>
    <w:semiHidden/>
    <w:rsid w:val="00D435A0"/>
    <w:pPr>
      <w:tabs>
        <w:tab w:val="right" w:leader="dot" w:pos="9350"/>
      </w:tabs>
      <w:ind w:left="2520" w:hanging="810"/>
    </w:pPr>
  </w:style>
  <w:style w:type="character" w:styleId="Hyperlink">
    <w:name w:val="Hyperlink"/>
    <w:rsid w:val="00471FB8"/>
    <w:rPr>
      <w:color w:val="0000FF"/>
      <w:u w:val="single"/>
    </w:rPr>
  </w:style>
  <w:style w:type="paragraph" w:styleId="TableofFigures">
    <w:name w:val="table of figures"/>
    <w:basedOn w:val="Normal"/>
    <w:next w:val="Normal"/>
    <w:semiHidden/>
    <w:rsid w:val="00D435A0"/>
  </w:style>
  <w:style w:type="paragraph" w:customStyle="1" w:styleId="Subheading2">
    <w:name w:val="Subheading 2"/>
    <w:basedOn w:val="Subheading"/>
    <w:next w:val="Normal"/>
    <w:rsid w:val="00456483"/>
    <w:rPr>
      <w:b w:val="0"/>
      <w:i/>
    </w:rPr>
  </w:style>
  <w:style w:type="paragraph" w:customStyle="1" w:styleId="tablebullet">
    <w:name w:val="table bullet"/>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semiHidden/>
    <w:rsid w:val="00166F61"/>
    <w:rPr>
      <w:sz w:val="16"/>
      <w:szCs w:val="16"/>
    </w:rPr>
  </w:style>
  <w:style w:type="paragraph" w:styleId="CommentText">
    <w:name w:val="annotation text"/>
    <w:basedOn w:val="Normal"/>
    <w:semiHidden/>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uiPriority w:val="99"/>
    <w:semiHidden/>
    <w:rsid w:val="001A76CB"/>
    <w:rPr>
      <w:sz w:val="18"/>
    </w:rPr>
  </w:style>
  <w:style w:type="character" w:styleId="FootnoteReference">
    <w:name w:val="footnote reference"/>
    <w:uiPriority w:val="99"/>
    <w:semiHidden/>
    <w:rsid w:val="00A163B6"/>
    <w:rPr>
      <w:vertAlign w:val="superscript"/>
    </w:rPr>
  </w:style>
  <w:style w:type="paragraph" w:styleId="NormalWeb">
    <w:name w:val="Normal (Web)"/>
    <w:basedOn w:val="Normal"/>
    <w:uiPriority w:val="99"/>
    <w:semiHidden/>
    <w:unhideWhenUsed/>
    <w:rsid w:val="00F96515"/>
    <w:pPr>
      <w:spacing w:before="100" w:beforeAutospacing="1" w:after="100" w:afterAutospacing="1"/>
    </w:pPr>
    <w:rPr>
      <w:rFonts w:ascii="Times New Roman" w:hAnsi="Times New Roman"/>
      <w:sz w:val="24"/>
      <w:szCs w:val="24"/>
    </w:rPr>
  </w:style>
  <w:style w:type="paragraph" w:styleId="ListParagraph">
    <w:name w:val="List Paragraph"/>
    <w:basedOn w:val="Normal"/>
    <w:qFormat/>
    <w:rsid w:val="00AC39A9"/>
    <w:pPr>
      <w:autoSpaceDE w:val="0"/>
      <w:autoSpaceDN w:val="0"/>
      <w:adjustRightInd w:val="0"/>
      <w:ind w:left="720"/>
      <w:contextualSpacing/>
    </w:pPr>
    <w:rPr>
      <w:rFonts w:ascii="Calibri" w:eastAsia="Calibri" w:hAnsi="Calibri"/>
      <w:bCs/>
      <w:sz w:val="22"/>
      <w:szCs w:val="22"/>
    </w:rPr>
  </w:style>
  <w:style w:type="paragraph" w:customStyle="1" w:styleId="0bullet-ss">
    <w:name w:val="0 bullet-ss"/>
    <w:basedOn w:val="Normal"/>
    <w:rsid w:val="005D4E15"/>
    <w:pPr>
      <w:numPr>
        <w:numId w:val="7"/>
      </w:numPr>
    </w:pPr>
    <w:rPr>
      <w:sz w:val="22"/>
    </w:rPr>
  </w:style>
  <w:style w:type="paragraph" w:styleId="BodyText">
    <w:name w:val="Body Text"/>
    <w:basedOn w:val="Normal"/>
    <w:rsid w:val="004032F8"/>
    <w:pPr>
      <w:spacing w:after="120"/>
    </w:pPr>
    <w:rPr>
      <w:rFonts w:ascii="Book Antiqua" w:hAnsi="Book Antiqua"/>
      <w:sz w:val="24"/>
    </w:rPr>
  </w:style>
  <w:style w:type="paragraph" w:styleId="Revision">
    <w:name w:val="Revision"/>
    <w:hidden/>
    <w:uiPriority w:val="99"/>
    <w:semiHidden/>
    <w:rsid w:val="00400BD5"/>
    <w:rPr>
      <w:rFonts w:ascii="Arial" w:hAnsi="Arial"/>
    </w:rPr>
  </w:style>
  <w:style w:type="character" w:customStyle="1" w:styleId="FootnoteTextChar">
    <w:name w:val="Footnote Text Char"/>
    <w:link w:val="FootnoteText"/>
    <w:uiPriority w:val="99"/>
    <w:semiHidden/>
    <w:rsid w:val="004979E0"/>
    <w:rPr>
      <w:rFonts w:ascii="Arial" w:hAnsi="Arial"/>
      <w:sz w:val="18"/>
    </w:rPr>
  </w:style>
  <w:style w:type="character" w:customStyle="1" w:styleId="Heading2Char">
    <w:name w:val="Heading 2 Char"/>
    <w:link w:val="Heading2"/>
    <w:uiPriority w:val="99"/>
    <w:rsid w:val="00B336B0"/>
    <w:rPr>
      <w:rFonts w:ascii="Arial Narrow Bold" w:hAnsi="Arial Narrow Bold" w:cs="Arial"/>
      <w:b/>
      <w:bCs/>
      <w:iCs/>
      <w:color w:val="7E0407"/>
      <w:sz w:val="32"/>
      <w:szCs w:val="28"/>
    </w:rPr>
  </w:style>
  <w:style w:type="paragraph" w:styleId="z-TopofForm">
    <w:name w:val="HTML Top of Form"/>
    <w:basedOn w:val="Normal"/>
    <w:next w:val="Normal"/>
    <w:link w:val="z-TopofFormChar"/>
    <w:hidden/>
    <w:uiPriority w:val="99"/>
    <w:unhideWhenUsed/>
    <w:rsid w:val="00E4634B"/>
    <w:pPr>
      <w:pBdr>
        <w:bottom w:val="single" w:sz="6" w:space="1" w:color="auto"/>
      </w:pBdr>
      <w:jc w:val="center"/>
    </w:pPr>
    <w:rPr>
      <w:rFonts w:cs="Arial"/>
      <w:vanish/>
      <w:sz w:val="16"/>
      <w:szCs w:val="16"/>
    </w:rPr>
  </w:style>
  <w:style w:type="character" w:customStyle="1" w:styleId="z-TopofFormChar">
    <w:name w:val="z-Top of Form Char"/>
    <w:link w:val="z-TopofForm"/>
    <w:uiPriority w:val="99"/>
    <w:rsid w:val="00E4634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E4634B"/>
    <w:pPr>
      <w:pBdr>
        <w:top w:val="single" w:sz="6" w:space="1" w:color="auto"/>
      </w:pBdr>
      <w:jc w:val="center"/>
    </w:pPr>
    <w:rPr>
      <w:rFonts w:cs="Arial"/>
      <w:vanish/>
      <w:sz w:val="16"/>
      <w:szCs w:val="16"/>
    </w:rPr>
  </w:style>
  <w:style w:type="character" w:customStyle="1" w:styleId="z-BottomofFormChar">
    <w:name w:val="z-Bottom of Form Char"/>
    <w:link w:val="z-BottomofForm"/>
    <w:uiPriority w:val="99"/>
    <w:rsid w:val="00E4634B"/>
    <w:rPr>
      <w:rFonts w:ascii="Arial" w:hAnsi="Arial" w:cs="Arial"/>
      <w:vanish/>
      <w:sz w:val="16"/>
      <w:szCs w:val="16"/>
    </w:rPr>
  </w:style>
  <w:style w:type="paragraph" w:styleId="NoSpacing">
    <w:name w:val="No Spacing"/>
    <w:uiPriority w:val="99"/>
    <w:qFormat/>
    <w:rsid w:val="006274F0"/>
    <w:rPr>
      <w:rFonts w:ascii="Calibri" w:hAnsi="Calibri"/>
      <w:sz w:val="22"/>
      <w:szCs w:val="22"/>
    </w:rPr>
  </w:style>
  <w:style w:type="paragraph" w:customStyle="1" w:styleId="MediumGrid21">
    <w:name w:val="Medium Grid 21"/>
    <w:semiHidden/>
    <w:qFormat/>
    <w:rsid w:val="00A5292F"/>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80299900">
      <w:bodyDiv w:val="1"/>
      <w:marLeft w:val="0"/>
      <w:marRight w:val="0"/>
      <w:marTop w:val="0"/>
      <w:marBottom w:val="0"/>
      <w:divBdr>
        <w:top w:val="none" w:sz="0" w:space="0" w:color="auto"/>
        <w:left w:val="none" w:sz="0" w:space="0" w:color="auto"/>
        <w:bottom w:val="none" w:sz="0" w:space="0" w:color="auto"/>
        <w:right w:val="none" w:sz="0" w:space="0" w:color="auto"/>
      </w:divBdr>
      <w:divsChild>
        <w:div w:id="1948273953">
          <w:marLeft w:val="0"/>
          <w:marRight w:val="0"/>
          <w:marTop w:val="0"/>
          <w:marBottom w:val="0"/>
          <w:divBdr>
            <w:top w:val="none" w:sz="0" w:space="0" w:color="auto"/>
            <w:left w:val="none" w:sz="0" w:space="0" w:color="auto"/>
            <w:bottom w:val="none" w:sz="0" w:space="0" w:color="auto"/>
            <w:right w:val="none" w:sz="0" w:space="0" w:color="auto"/>
          </w:divBdr>
          <w:divsChild>
            <w:div w:id="2080594783">
              <w:marLeft w:val="0"/>
              <w:marRight w:val="0"/>
              <w:marTop w:val="0"/>
              <w:marBottom w:val="75"/>
              <w:divBdr>
                <w:top w:val="none" w:sz="0" w:space="0" w:color="auto"/>
                <w:left w:val="none" w:sz="0" w:space="0" w:color="auto"/>
                <w:bottom w:val="none" w:sz="0" w:space="0" w:color="auto"/>
                <w:right w:val="none" w:sz="0" w:space="0" w:color="auto"/>
              </w:divBdr>
              <w:divsChild>
                <w:div w:id="7070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7184">
      <w:bodyDiv w:val="1"/>
      <w:marLeft w:val="0"/>
      <w:marRight w:val="0"/>
      <w:marTop w:val="0"/>
      <w:marBottom w:val="0"/>
      <w:divBdr>
        <w:top w:val="none" w:sz="0" w:space="0" w:color="auto"/>
        <w:left w:val="none" w:sz="0" w:space="0" w:color="auto"/>
        <w:bottom w:val="none" w:sz="0" w:space="0" w:color="auto"/>
        <w:right w:val="none" w:sz="0" w:space="0" w:color="auto"/>
      </w:divBdr>
      <w:divsChild>
        <w:div w:id="5787794">
          <w:marLeft w:val="0"/>
          <w:marRight w:val="0"/>
          <w:marTop w:val="0"/>
          <w:marBottom w:val="0"/>
          <w:divBdr>
            <w:top w:val="none" w:sz="0" w:space="0" w:color="auto"/>
            <w:left w:val="none" w:sz="0" w:space="0" w:color="auto"/>
            <w:bottom w:val="none" w:sz="0" w:space="0" w:color="auto"/>
            <w:right w:val="none" w:sz="0" w:space="0" w:color="auto"/>
          </w:divBdr>
          <w:divsChild>
            <w:div w:id="1054157964">
              <w:marLeft w:val="0"/>
              <w:marRight w:val="0"/>
              <w:marTop w:val="0"/>
              <w:marBottom w:val="75"/>
              <w:divBdr>
                <w:top w:val="none" w:sz="0" w:space="0" w:color="auto"/>
                <w:left w:val="none" w:sz="0" w:space="0" w:color="auto"/>
                <w:bottom w:val="none" w:sz="0" w:space="0" w:color="auto"/>
                <w:right w:val="none" w:sz="0" w:space="0" w:color="auto"/>
              </w:divBdr>
              <w:divsChild>
                <w:div w:id="10478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8091">
      <w:bodyDiv w:val="1"/>
      <w:marLeft w:val="0"/>
      <w:marRight w:val="0"/>
      <w:marTop w:val="0"/>
      <w:marBottom w:val="0"/>
      <w:divBdr>
        <w:top w:val="none" w:sz="0" w:space="0" w:color="auto"/>
        <w:left w:val="none" w:sz="0" w:space="0" w:color="auto"/>
        <w:bottom w:val="none" w:sz="0" w:space="0" w:color="auto"/>
        <w:right w:val="none" w:sz="0" w:space="0" w:color="auto"/>
      </w:divBdr>
      <w:divsChild>
        <w:div w:id="261882007">
          <w:marLeft w:val="0"/>
          <w:marRight w:val="0"/>
          <w:marTop w:val="0"/>
          <w:marBottom w:val="0"/>
          <w:divBdr>
            <w:top w:val="none" w:sz="0" w:space="0" w:color="auto"/>
            <w:left w:val="none" w:sz="0" w:space="0" w:color="auto"/>
            <w:bottom w:val="none" w:sz="0" w:space="0" w:color="auto"/>
            <w:right w:val="none" w:sz="0" w:space="0" w:color="auto"/>
          </w:divBdr>
          <w:divsChild>
            <w:div w:id="816805159">
              <w:marLeft w:val="0"/>
              <w:marRight w:val="0"/>
              <w:marTop w:val="0"/>
              <w:marBottom w:val="75"/>
              <w:divBdr>
                <w:top w:val="none" w:sz="0" w:space="0" w:color="auto"/>
                <w:left w:val="none" w:sz="0" w:space="0" w:color="auto"/>
                <w:bottom w:val="none" w:sz="0" w:space="0" w:color="auto"/>
                <w:right w:val="none" w:sz="0" w:space="0" w:color="auto"/>
              </w:divBdr>
              <w:divsChild>
                <w:div w:id="14247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2728">
      <w:bodyDiv w:val="1"/>
      <w:marLeft w:val="0"/>
      <w:marRight w:val="0"/>
      <w:marTop w:val="0"/>
      <w:marBottom w:val="0"/>
      <w:divBdr>
        <w:top w:val="none" w:sz="0" w:space="0" w:color="auto"/>
        <w:left w:val="none" w:sz="0" w:space="0" w:color="auto"/>
        <w:bottom w:val="none" w:sz="0" w:space="0" w:color="auto"/>
        <w:right w:val="none" w:sz="0" w:space="0" w:color="auto"/>
      </w:divBdr>
      <w:divsChild>
        <w:div w:id="711341791">
          <w:marLeft w:val="0"/>
          <w:marRight w:val="0"/>
          <w:marTop w:val="0"/>
          <w:marBottom w:val="0"/>
          <w:divBdr>
            <w:top w:val="none" w:sz="0" w:space="0" w:color="auto"/>
            <w:left w:val="none" w:sz="0" w:space="0" w:color="auto"/>
            <w:bottom w:val="none" w:sz="0" w:space="0" w:color="auto"/>
            <w:right w:val="none" w:sz="0" w:space="0" w:color="auto"/>
          </w:divBdr>
          <w:divsChild>
            <w:div w:id="1080710408">
              <w:marLeft w:val="0"/>
              <w:marRight w:val="0"/>
              <w:marTop w:val="0"/>
              <w:marBottom w:val="75"/>
              <w:divBdr>
                <w:top w:val="none" w:sz="0" w:space="0" w:color="auto"/>
                <w:left w:val="none" w:sz="0" w:space="0" w:color="auto"/>
                <w:bottom w:val="none" w:sz="0" w:space="0" w:color="auto"/>
                <w:right w:val="none" w:sz="0" w:space="0" w:color="auto"/>
              </w:divBdr>
              <w:divsChild>
                <w:div w:id="20120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6684">
      <w:bodyDiv w:val="1"/>
      <w:marLeft w:val="0"/>
      <w:marRight w:val="0"/>
      <w:marTop w:val="0"/>
      <w:marBottom w:val="0"/>
      <w:divBdr>
        <w:top w:val="none" w:sz="0" w:space="0" w:color="auto"/>
        <w:left w:val="none" w:sz="0" w:space="0" w:color="auto"/>
        <w:bottom w:val="none" w:sz="0" w:space="0" w:color="auto"/>
        <w:right w:val="none" w:sz="0" w:space="0" w:color="auto"/>
      </w:divBdr>
      <w:divsChild>
        <w:div w:id="809791191">
          <w:marLeft w:val="0"/>
          <w:marRight w:val="0"/>
          <w:marTop w:val="0"/>
          <w:marBottom w:val="0"/>
          <w:divBdr>
            <w:top w:val="none" w:sz="0" w:space="0" w:color="auto"/>
            <w:left w:val="none" w:sz="0" w:space="0" w:color="auto"/>
            <w:bottom w:val="none" w:sz="0" w:space="0" w:color="auto"/>
            <w:right w:val="none" w:sz="0" w:space="0" w:color="auto"/>
          </w:divBdr>
          <w:divsChild>
            <w:div w:id="2089111262">
              <w:marLeft w:val="0"/>
              <w:marRight w:val="0"/>
              <w:marTop w:val="0"/>
              <w:marBottom w:val="75"/>
              <w:divBdr>
                <w:top w:val="none" w:sz="0" w:space="0" w:color="auto"/>
                <w:left w:val="none" w:sz="0" w:space="0" w:color="auto"/>
                <w:bottom w:val="none" w:sz="0" w:space="0" w:color="auto"/>
                <w:right w:val="none" w:sz="0" w:space="0" w:color="auto"/>
              </w:divBdr>
              <w:divsChild>
                <w:div w:id="18537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3364">
      <w:bodyDiv w:val="1"/>
      <w:marLeft w:val="0"/>
      <w:marRight w:val="0"/>
      <w:marTop w:val="0"/>
      <w:marBottom w:val="0"/>
      <w:divBdr>
        <w:top w:val="none" w:sz="0" w:space="0" w:color="auto"/>
        <w:left w:val="none" w:sz="0" w:space="0" w:color="auto"/>
        <w:bottom w:val="none" w:sz="0" w:space="0" w:color="auto"/>
        <w:right w:val="none" w:sz="0" w:space="0" w:color="auto"/>
      </w:divBdr>
    </w:div>
    <w:div w:id="1724284035">
      <w:bodyDiv w:val="1"/>
      <w:marLeft w:val="0"/>
      <w:marRight w:val="0"/>
      <w:marTop w:val="0"/>
      <w:marBottom w:val="0"/>
      <w:divBdr>
        <w:top w:val="none" w:sz="0" w:space="0" w:color="auto"/>
        <w:left w:val="none" w:sz="0" w:space="0" w:color="auto"/>
        <w:bottom w:val="none" w:sz="0" w:space="0" w:color="auto"/>
        <w:right w:val="none" w:sz="0" w:space="0" w:color="auto"/>
      </w:divBdr>
    </w:div>
    <w:div w:id="1997564556">
      <w:bodyDiv w:val="1"/>
      <w:marLeft w:val="0"/>
      <w:marRight w:val="0"/>
      <w:marTop w:val="0"/>
      <w:marBottom w:val="0"/>
      <w:divBdr>
        <w:top w:val="none" w:sz="0" w:space="0" w:color="auto"/>
        <w:left w:val="none" w:sz="0" w:space="0" w:color="auto"/>
        <w:bottom w:val="none" w:sz="0" w:space="0" w:color="auto"/>
        <w:right w:val="none" w:sz="0" w:space="0" w:color="auto"/>
      </w:divBdr>
      <w:divsChild>
        <w:div w:id="913585609">
          <w:marLeft w:val="525"/>
          <w:marRight w:val="0"/>
          <w:marTop w:val="0"/>
          <w:marBottom w:val="0"/>
          <w:divBdr>
            <w:top w:val="none" w:sz="0" w:space="0" w:color="auto"/>
            <w:left w:val="none" w:sz="0" w:space="0" w:color="auto"/>
            <w:bottom w:val="none" w:sz="0" w:space="0" w:color="auto"/>
            <w:right w:val="none" w:sz="0" w:space="0" w:color="auto"/>
          </w:divBdr>
        </w:div>
      </w:divsChild>
    </w:div>
    <w:div w:id="2038969375">
      <w:bodyDiv w:val="1"/>
      <w:marLeft w:val="0"/>
      <w:marRight w:val="0"/>
      <w:marTop w:val="0"/>
      <w:marBottom w:val="0"/>
      <w:divBdr>
        <w:top w:val="none" w:sz="0" w:space="0" w:color="auto"/>
        <w:left w:val="none" w:sz="0" w:space="0" w:color="auto"/>
        <w:bottom w:val="none" w:sz="0" w:space="0" w:color="auto"/>
        <w:right w:val="none" w:sz="0" w:space="0" w:color="auto"/>
      </w:divBdr>
      <w:divsChild>
        <w:div w:id="674499388">
          <w:marLeft w:val="0"/>
          <w:marRight w:val="0"/>
          <w:marTop w:val="0"/>
          <w:marBottom w:val="0"/>
          <w:divBdr>
            <w:top w:val="none" w:sz="0" w:space="0" w:color="auto"/>
            <w:left w:val="none" w:sz="0" w:space="0" w:color="auto"/>
            <w:bottom w:val="none" w:sz="0" w:space="0" w:color="auto"/>
            <w:right w:val="none" w:sz="0" w:space="0" w:color="auto"/>
          </w:divBdr>
          <w:divsChild>
            <w:div w:id="831027900">
              <w:marLeft w:val="0"/>
              <w:marRight w:val="0"/>
              <w:marTop w:val="0"/>
              <w:marBottom w:val="75"/>
              <w:divBdr>
                <w:top w:val="none" w:sz="0" w:space="0" w:color="auto"/>
                <w:left w:val="none" w:sz="0" w:space="0" w:color="auto"/>
                <w:bottom w:val="none" w:sz="0" w:space="0" w:color="auto"/>
                <w:right w:val="none" w:sz="0" w:space="0" w:color="auto"/>
              </w:divBdr>
              <w:divsChild>
                <w:div w:id="9386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NC.Certification@hhs.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lri.sipilotdevelopment.org//mu-immuniz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4CAAA-5D4C-4E13-83A9-F5036DFD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13</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Template Instructions</vt:lpstr>
    </vt:vector>
  </TitlesOfParts>
  <Company>Booz Allen Hamilton</Company>
  <LinksUpToDate>false</LinksUpToDate>
  <CharactersWithSpaces>25655</CharactersWithSpaces>
  <SharedDoc>false</SharedDoc>
  <HLinks>
    <vt:vector size="30" baseType="variant">
      <vt:variant>
        <vt:i4>1376256</vt:i4>
      </vt:variant>
      <vt:variant>
        <vt:i4>12</vt:i4>
      </vt:variant>
      <vt:variant>
        <vt:i4>0</vt:i4>
      </vt:variant>
      <vt:variant>
        <vt:i4>5</vt:i4>
      </vt:variant>
      <vt:variant>
        <vt:lpwstr>http://xreg2.nist.gov:8080/HL7V2MuValidation2011</vt:lpwstr>
      </vt:variant>
      <vt:variant>
        <vt:lpwstr/>
      </vt:variant>
      <vt:variant>
        <vt:i4>1245292</vt:i4>
      </vt:variant>
      <vt:variant>
        <vt:i4>9</vt:i4>
      </vt:variant>
      <vt:variant>
        <vt:i4>0</vt:i4>
      </vt:variant>
      <vt:variant>
        <vt:i4>5</vt:i4>
      </vt:variant>
      <vt:variant>
        <vt:lpwstr>mailto:ONC.Certification@hhs.gov</vt:lpwstr>
      </vt:variant>
      <vt:variant>
        <vt:lpwstr/>
      </vt:variant>
      <vt:variant>
        <vt:i4>3538947</vt:i4>
      </vt:variant>
      <vt:variant>
        <vt:i4>6</vt:i4>
      </vt:variant>
      <vt:variant>
        <vt:i4>0</vt:i4>
      </vt:variant>
      <vt:variant>
        <vt:i4>5</vt:i4>
      </vt:variant>
      <vt:variant>
        <vt:lpwstr>mailto:hit-tst-fdbk@nist.gov</vt:lpwstr>
      </vt:variant>
      <vt:variant>
        <vt:lpwstr/>
      </vt:variant>
      <vt:variant>
        <vt:i4>1245292</vt:i4>
      </vt:variant>
      <vt:variant>
        <vt:i4>3</vt:i4>
      </vt:variant>
      <vt:variant>
        <vt:i4>0</vt:i4>
      </vt:variant>
      <vt:variant>
        <vt:i4>5</vt:i4>
      </vt:variant>
      <vt:variant>
        <vt:lpwstr>mailto:ONC.Certification@hhs.gov</vt:lpwstr>
      </vt:variant>
      <vt:variant>
        <vt:lpwstr/>
      </vt:variant>
      <vt:variant>
        <vt:i4>3801160</vt:i4>
      </vt:variant>
      <vt:variant>
        <vt:i4>0</vt:i4>
      </vt:variant>
      <vt:variant>
        <vt:i4>0</vt:i4>
      </vt:variant>
      <vt:variant>
        <vt:i4>5</vt:i4>
      </vt:variant>
      <vt:variant>
        <vt:lpwstr>http://healthcare.nist.gov/docs/TestProcedureOverview_v1.pdf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Instructions</dc:title>
  <dc:creator>Booz Allen Hamilton</dc:creator>
  <cp:lastModifiedBy>Robert Snelick</cp:lastModifiedBy>
  <cp:revision>23</cp:revision>
  <cp:lastPrinted>2012-08-30T13:05:00Z</cp:lastPrinted>
  <dcterms:created xsi:type="dcterms:W3CDTF">2012-08-30T19:53:00Z</dcterms:created>
  <dcterms:modified xsi:type="dcterms:W3CDTF">2012-09-05T14:38:00Z</dcterms:modified>
</cp:coreProperties>
</file>