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Garamond" w:cs="Garamond" w:eastAsia="Garamond" w:hAnsi="Garamond"/>
        </w:rPr>
        <w:t xml:space="preserve"/>
      </w:r>
    </w:p>
    <w:p>
      <w:pPr>
        <w:spacing w:after="60"/>
        <w:jc w:val="center"/>
      </w:pPr>
      <w:r>
        <w:rPr>
          <w:rFonts w:ascii="Garamond" w:cs="Garamond" w:eastAsia="Garamond" w:hAnsi="Garamond"/>
          <w:b/>
          <w:bCs/>
          <w:caps w:val="false"/>
          <w:color w:val="0F3854"/>
          <w:sz w:val="30"/>
          <w:szCs w:val="30"/>
        </w:rPr>
        <w:t xml:space="preserve">KEENSIGHT CAPITAL</w:t>
      </w:r>
    </w:p>
    <w:p>
      <w:pPr>
        <w:spacing w:after="600"/>
        <w:jc w:val="center"/>
      </w:pPr>
      <w:r>
        <w:rPr>
          <w:rFonts w:ascii="Garamond" w:cs="Garamond" w:eastAsia="Garamond" w:hAnsi="Garamond"/>
          <w:color w:val="666666"/>
          <w:sz w:val="22"/>
          <w:szCs w:val="22"/>
        </w:rPr>
        <w:t xml:space="preserve">AI Deployment: Use-Case Report</w:t>
      </w:r>
    </w:p>
    <w:p>
      <w:pPr>
        <w:spacing w:after="120"/>
        <w:jc w:val="center"/>
      </w:pPr>
      <w:r>
        <w:rPr>
          <w:rFonts w:ascii="Garamond" w:cs="Garamond" w:eastAsia="Garamond" w:hAnsi="Garamond"/>
          <w:b/>
          <w:bCs/>
          <w:color w:val="0F3854"/>
          <w:sz w:val="52"/>
          <w:szCs w:val="52"/>
        </w:rPr>
        <w:t xml:space="preserve">The LP Reporting Assistant</w:t>
      </w:r>
    </w:p>
    <w:p>
      <w:pPr>
        <w:spacing w:after="900"/>
        <w:jc w:val="center"/>
      </w:pPr>
      <w:r>
        <w:rPr>
          <w:rFonts w:ascii="Garamond" w:cs="Garamond" w:eastAsia="Garamond" w:hAnsi="Garamond"/>
          <w:i/>
          <w:iCs/>
          <w:color w:val="44546A"/>
          <w:sz w:val="26"/>
          <w:szCs w:val="26"/>
        </w:rPr>
        <w:t xml:space="preserve">Automating the quarterly Limited Partner report, from raw portfolio filings to a polished, fact-checked document</w:t>
      </w:r>
    </w:p>
    <w:p>
      <w:pPr>
        <w:jc w:val="center"/>
      </w:pPr>
      <w:r>
        <w:rPr>
          <w:rFonts w:ascii="Garamond" w:cs="Garamond" w:eastAsia="Garamond" w:hAnsi="Garamond"/>
          <w:color w:val="666666"/>
          <w:sz w:val="22"/>
          <w:szCs w:val="22"/>
        </w:rPr>
        <w:t xml:space="preserve">Prototype demonstration  ·  Prepared for discussion</w:t>
      </w:r>
    </w:p>
    <w:p>
      <w:pPr>
        <w:pStyle w:val="Heading1"/>
        <w:pageBreakBefore/>
        <w:pBdr>
          <w:bottom w:val="single" w:color="0F3854" w:sz="8" w:space="4"/>
        </w:pBdr>
        <w:spacing w:after="160" w:before="320"/>
      </w:pPr>
      <w:r>
        <w:rPr>
          <w:rFonts w:ascii="Garamond" w:cs="Garamond" w:eastAsia="Garamond" w:hAnsi="Garamond"/>
          <w:b/>
          <w:bCs/>
          <w:color w:val="0F3854"/>
          <w:sz w:val="32"/>
          <w:szCs w:val="32"/>
        </w:rPr>
        <w:t xml:space="preserve">Executive Summary</w:t>
      </w:r>
    </w:p>
    <w:p>
      <w:pPr>
        <w:spacing w:after="160" w:line="300"/>
        <w:jc w:val="both"/>
      </w:pPr>
      <w:r>
        <w:rPr>
          <w:rFonts w:ascii="Garamond" w:cs="Garamond" w:eastAsia="Garamond" w:hAnsi="Garamond"/>
          <w:sz w:val="24"/>
          <w:szCs w:val="24"/>
        </w:rPr>
        <w:t xml:space="preserve">Every quarter, growth investors owe their Limited Partners (LPs) a written account of how each company in the portfolio is performing. Producing that account today is a manual, repetitive, and error-prone exercise: someone must read a different, inconsistently formatted report from every portfolio company, extract the figures that matter, notice anything unusual, write a neutral summary, and assemble all of it into one branded document.</w:t>
      </w:r>
    </w:p>
    <w:p>
      <w:pPr>
        <w:spacing w:after="160" w:line="300"/>
        <w:jc w:val="both"/>
      </w:pPr>
      <w:r>
        <w:rPr>
          <w:rFonts w:ascii="Garamond" w:cs="Garamond" w:eastAsia="Garamond" w:hAnsi="Garamond"/>
          <w:sz w:val="24"/>
          <w:szCs w:val="24"/>
        </w:rPr>
        <w:t xml:space="preserve">The LP Reporting Assistant is a working prototype that automates the first draft of this process end to end. An investor uploads each portfolio company’s raw quarterly report; the tool reads it, extracts the key metrics and trends, drafts a concise update paragraph, flags anomalies that warrant attention, and compiles everything into a single branded quarterly report built on Keensight’s own template: a cover page and firm introduction, followed by one clean page per company with tables, charts, and colour-coded status indicators.</w:t>
      </w:r>
    </w:p>
    <w:p>
      <w:pPr>
        <w:spacing w:after="160" w:line="300"/>
        <w:jc w:val="both"/>
      </w:pPr>
      <w:r>
        <w:rPr>
          <w:rFonts w:ascii="Garamond" w:cs="Garamond" w:eastAsia="Garamond" w:hAnsi="Garamond"/>
          <w:sz w:val="24"/>
          <w:szCs w:val="24"/>
        </w:rPr>
        <w:t xml:space="preserve">The system is deliberately designed as a two-step “draft, then review” workflow rather than an autonomous agent. It never sends anything to investors and never makes a decision on its own. It removes the blank-page burden so that skilled staff spend their time verifying and approving rather than transcribing and writing. This report explains the business problem in detail, how the solution works, the technology behind it, what it would take to move from prototype to production, and where it could go next.</w:t>
      </w:r>
    </w:p>
    <w:p>
      <w:pPr>
        <w:pStyle w:val="Heading1"/>
        <w:pageBreakBefore/>
        <w:pBdr>
          <w:bottom w:val="single" w:color="0F3854" w:sz="8" w:space="4"/>
        </w:pBdr>
        <w:spacing w:after="160" w:before="320"/>
      </w:pPr>
      <w:r>
        <w:rPr>
          <w:rFonts w:ascii="Garamond" w:cs="Garamond" w:eastAsia="Garamond" w:hAnsi="Garamond"/>
          <w:b/>
          <w:bCs/>
          <w:color w:val="0F3854"/>
          <w:sz w:val="32"/>
          <w:szCs w:val="32"/>
        </w:rPr>
        <w:t xml:space="preserve">1.  The Problem</w:t>
      </w:r>
    </w:p>
    <w:p>
      <w:pPr>
        <w:pStyle w:val="Heading2"/>
        <w:spacing w:after="100" w:before="220"/>
      </w:pPr>
      <w:r>
        <w:rPr>
          <w:rFonts w:ascii="Garamond" w:cs="Garamond" w:eastAsia="Garamond" w:hAnsi="Garamond"/>
          <w:b/>
          <w:bCs/>
          <w:color w:val="44546A"/>
          <w:sz w:val="26"/>
          <w:szCs w:val="26"/>
        </w:rPr>
        <w:t xml:space="preserve">The quarterly reporting obligation</w:t>
      </w:r>
    </w:p>
    <w:p>
      <w:pPr>
        <w:spacing w:after="160" w:line="300"/>
        <w:jc w:val="both"/>
      </w:pPr>
      <w:r>
        <w:rPr>
          <w:rFonts w:ascii="Garamond" w:cs="Garamond" w:eastAsia="Garamond" w:hAnsi="Garamond"/>
          <w:sz w:val="24"/>
          <w:szCs w:val="24"/>
        </w:rPr>
        <w:t xml:space="preserve">Private equity and growth-equity firms raise capital from institutional investors, pension funds, insurers, endowments, sovereign wealth funds, and family offices. These investors are the firm’s Limited Partners. In exchange for their capital and their trust, they expect regular, transparent, accurate reporting on how the fund and its underlying investments are performing.</w:t>
      </w:r>
    </w:p>
    <w:p>
      <w:pPr>
        <w:spacing w:after="160" w:line="300"/>
        <w:jc w:val="both"/>
      </w:pPr>
      <w:r>
        <w:rPr>
          <w:rFonts w:ascii="Garamond" w:cs="Garamond" w:eastAsia="Garamond" w:hAnsi="Garamond"/>
          <w:sz w:val="24"/>
          <w:szCs w:val="24"/>
        </w:rPr>
        <w:t xml:space="preserve">A central part of that obligation is the quarterly portfolio update. For each company the fund owns, the LP wants to understand: how did revenue and profitability move this quarter and versus a year ago? Is growth accelerating or slowing? What happened operationally: a major new customer, an acquisition, a product delay, a margin squeeze? Institutional investors read these updates carefully; the quality and consistency of reporting is part of how a firm earns the right to raise its next fund.</w:t>
      </w:r>
    </w:p>
    <w:p>
      <w:pPr>
        <w:pStyle w:val="Heading2"/>
        <w:spacing w:after="100" w:before="220"/>
      </w:pPr>
      <w:r>
        <w:rPr>
          <w:rFonts w:ascii="Garamond" w:cs="Garamond" w:eastAsia="Garamond" w:hAnsi="Garamond"/>
          <w:b/>
          <w:bCs/>
          <w:color w:val="44546A"/>
          <w:sz w:val="26"/>
          <w:szCs w:val="26"/>
        </w:rPr>
        <w:t xml:space="preserve">Why it is painful today</w:t>
      </w:r>
    </w:p>
    <w:p>
      <w:pPr>
        <w:pStyle w:val="ListParagraph"/>
        <w:numPr>
          <w:ilvl w:val="0"/>
          <w:numId w:val="2"/>
        </w:numPr>
        <w:spacing w:after="90" w:line="290"/>
      </w:pPr>
      <w:r>
        <w:rPr>
          <w:rFonts w:ascii="Garamond" w:cs="Garamond" w:eastAsia="Garamond" w:hAnsi="Garamond"/>
          <w:b/>
          <w:bCs/>
          <w:sz w:val="24"/>
          <w:szCs w:val="24"/>
        </w:rPr>
        <w:t xml:space="preserve">Inconsistent inputs.  </w:t>
      </w:r>
      <w:r>
        <w:rPr>
          <w:rFonts w:ascii="Garamond" w:cs="Garamond" w:eastAsia="Garamond" w:hAnsi="Garamond"/>
          <w:sz w:val="24"/>
          <w:szCs w:val="24"/>
        </w:rPr>
        <w:t xml:space="preserve">Each portfolio company sends its own report, and no two are alike. Some are two pages; some are ten. Some contain neat financial tables; others bury the numbers in prose or appendices. Formatting, terminology, and structure vary from company to company and quarter to quarter.</w:t>
      </w:r>
    </w:p>
    <w:p>
      <w:pPr>
        <w:pStyle w:val="ListParagraph"/>
        <w:numPr>
          <w:ilvl w:val="0"/>
          <w:numId w:val="2"/>
        </w:numPr>
        <w:spacing w:after="90" w:line="290"/>
      </w:pPr>
      <w:r>
        <w:rPr>
          <w:rFonts w:ascii="Garamond" w:cs="Garamond" w:eastAsia="Garamond" w:hAnsi="Garamond"/>
          <w:b/>
          <w:bCs/>
          <w:sz w:val="24"/>
          <w:szCs w:val="24"/>
        </w:rPr>
        <w:t xml:space="preserve">Manual reading and extraction.  </w:t>
      </w:r>
      <w:r>
        <w:rPr>
          <w:rFonts w:ascii="Garamond" w:cs="Garamond" w:eastAsia="Garamond" w:hAnsi="Garamond"/>
          <w:sz w:val="24"/>
          <w:szCs w:val="24"/>
        </w:rPr>
        <w:t xml:space="preserve">A member of the investor-relations or performance team must read each report in full, locate the figures that matter, and reconcile them against the prior quarter and the prior year.</w:t>
      </w:r>
    </w:p>
    <w:p>
      <w:pPr>
        <w:pStyle w:val="ListParagraph"/>
        <w:numPr>
          <w:ilvl w:val="0"/>
          <w:numId w:val="2"/>
        </w:numPr>
        <w:spacing w:after="90" w:line="290"/>
      </w:pPr>
      <w:r>
        <w:rPr>
          <w:rFonts w:ascii="Garamond" w:cs="Garamond" w:eastAsia="Garamond" w:hAnsi="Garamond"/>
          <w:b/>
          <w:bCs/>
          <w:sz w:val="24"/>
          <w:szCs w:val="24"/>
        </w:rPr>
        <w:t xml:space="preserve">Manual drafting.  </w:t>
      </w:r>
      <w:r>
        <w:rPr>
          <w:rFonts w:ascii="Garamond" w:cs="Garamond" w:eastAsia="Garamond" w:hAnsi="Garamond"/>
          <w:sz w:val="24"/>
          <w:szCs w:val="24"/>
        </w:rPr>
        <w:t xml:space="preserve">The same person then writes a short, neutral, professional paragraph for each company, factual, free of hype, and consistent in tone with every other company in the report.</w:t>
      </w:r>
    </w:p>
    <w:p>
      <w:pPr>
        <w:pStyle w:val="ListParagraph"/>
        <w:numPr>
          <w:ilvl w:val="0"/>
          <w:numId w:val="2"/>
        </w:numPr>
        <w:spacing w:after="90" w:line="290"/>
      </w:pPr>
      <w:r>
        <w:rPr>
          <w:rFonts w:ascii="Garamond" w:cs="Garamond" w:eastAsia="Garamond" w:hAnsi="Garamond"/>
          <w:b/>
          <w:bCs/>
          <w:sz w:val="24"/>
          <w:szCs w:val="24"/>
        </w:rPr>
        <w:t xml:space="preserve">Easy to miss anomalies.  </w:t>
      </w:r>
      <w:r>
        <w:rPr>
          <w:rFonts w:ascii="Garamond" w:cs="Garamond" w:eastAsia="Garamond" w:hAnsi="Garamond"/>
          <w:sz w:val="24"/>
          <w:szCs w:val="24"/>
        </w:rPr>
        <w:t xml:space="preserve">An overlooked margin decline or a quietly delayed launch can slip through when a tired reader is working through the tenth report of the day.</w:t>
      </w:r>
    </w:p>
    <w:p>
      <w:pPr>
        <w:pStyle w:val="ListParagraph"/>
        <w:numPr>
          <w:ilvl w:val="0"/>
          <w:numId w:val="2"/>
        </w:numPr>
        <w:spacing w:after="90" w:line="290"/>
      </w:pPr>
      <w:r>
        <w:rPr>
          <w:rFonts w:ascii="Garamond" w:cs="Garamond" w:eastAsia="Garamond" w:hAnsi="Garamond"/>
          <w:b/>
          <w:bCs/>
          <w:sz w:val="24"/>
          <w:szCs w:val="24"/>
        </w:rPr>
        <w:t xml:space="preserve">Assembly and formatting.  </w:t>
      </w:r>
      <w:r>
        <w:rPr>
          <w:rFonts w:ascii="Garamond" w:cs="Garamond" w:eastAsia="Garamond" w:hAnsi="Garamond"/>
          <w:sz w:val="24"/>
          <w:szCs w:val="24"/>
        </w:rPr>
        <w:t xml:space="preserve">Every individual summary must be assembled into one branded, consistently formatted document suitable for sophisticated institutional readers.</w:t>
      </w:r>
    </w:p>
    <w:p>
      <w:pPr>
        <w:spacing w:after="160" w:line="300"/>
        <w:jc w:val="both"/>
      </w:pPr>
      <w:r>
        <w:rPr>
          <w:rFonts w:ascii="Garamond" w:cs="Garamond" w:eastAsia="Garamond" w:hAnsi="Garamond"/>
          <w:sz w:val="24"/>
          <w:szCs w:val="24"/>
        </w:rPr>
        <w:t xml:space="preserve">The work is not intellectually difficult, but it is time-consuming, repetitive, and unforgiving of small mistakes. Critically, it scales badly: doubling the number of portfolio companies roughly doubles the hours required, every single quarter, forever.</w:t>
      </w:r>
    </w:p>
    <w:p>
      <w:pPr>
        <w:pStyle w:val="Heading1"/>
        <w:pageBreakBefore/>
        <w:pBdr>
          <w:bottom w:val="single" w:color="0F3854" w:sz="8" w:space="4"/>
        </w:pBdr>
        <w:spacing w:after="160" w:before="320"/>
      </w:pPr>
      <w:r>
        <w:rPr>
          <w:rFonts w:ascii="Garamond" w:cs="Garamond" w:eastAsia="Garamond" w:hAnsi="Garamond"/>
          <w:b/>
          <w:bCs/>
          <w:color w:val="0F3854"/>
          <w:sz w:val="32"/>
          <w:szCs w:val="32"/>
        </w:rPr>
        <w:t xml:space="preserve">2.  The Solution</w:t>
      </w:r>
    </w:p>
    <w:p>
      <w:pPr>
        <w:spacing w:after="160" w:line="300"/>
        <w:jc w:val="both"/>
      </w:pPr>
      <w:r>
        <w:rPr>
          <w:rFonts w:ascii="Garamond" w:cs="Garamond" w:eastAsia="Garamond" w:hAnsi="Garamond"/>
          <w:sz w:val="24"/>
          <w:szCs w:val="24"/>
        </w:rPr>
        <w:t xml:space="preserve">The LP Reporting Assistant automates the first draft of the entire process while keeping a human firmly in control of the final product. The user provides the raw quarterly reports; the tool returns one polished, branded quarterly document ready for review.</w:t>
      </w:r>
    </w:p>
    <w:p>
      <w:pPr>
        <w:pStyle w:val="Heading2"/>
        <w:spacing w:after="100" w:before="220"/>
      </w:pPr>
      <w:r>
        <w:rPr>
          <w:rFonts w:ascii="Garamond" w:cs="Garamond" w:eastAsia="Garamond" w:hAnsi="Garamond"/>
          <w:b/>
          <w:bCs/>
          <w:color w:val="44546A"/>
          <w:sz w:val="26"/>
          <w:szCs w:val="26"/>
        </w:rPr>
        <w:t xml:space="preserve">What the tool does</w:t>
      </w:r>
    </w:p>
    <w:p>
      <w:pPr>
        <w:pStyle w:val="ListParagraph"/>
        <w:numPr>
          <w:ilvl w:val="0"/>
          <w:numId w:val="2"/>
        </w:numPr>
        <w:spacing w:after="90" w:line="290"/>
      </w:pPr>
      <w:r>
        <w:rPr>
          <w:rFonts w:ascii="Garamond" w:cs="Garamond" w:eastAsia="Garamond" w:hAnsi="Garamond"/>
          <w:b/>
          <w:bCs/>
          <w:sz w:val="24"/>
          <w:szCs w:val="24"/>
        </w:rPr>
        <w:t xml:space="preserve">Reads any format.  </w:t>
      </w:r>
      <w:r>
        <w:rPr>
          <w:rFonts w:ascii="Garamond" w:cs="Garamond" w:eastAsia="Garamond" w:hAnsi="Garamond"/>
          <w:sz w:val="24"/>
          <w:szCs w:val="24"/>
        </w:rPr>
        <w:t xml:space="preserve">It reads and understands each report regardless of its length or layout.</w:t>
      </w:r>
    </w:p>
    <w:p>
      <w:pPr>
        <w:pStyle w:val="ListParagraph"/>
        <w:numPr>
          <w:ilvl w:val="0"/>
          <w:numId w:val="2"/>
        </w:numPr>
        <w:spacing w:after="90" w:line="290"/>
      </w:pPr>
      <w:r>
        <w:rPr>
          <w:rFonts w:ascii="Garamond" w:cs="Garamond" w:eastAsia="Garamond" w:hAnsi="Garamond"/>
          <w:b/>
          <w:bCs/>
          <w:sz w:val="24"/>
          <w:szCs w:val="24"/>
        </w:rPr>
        <w:t xml:space="preserve">Extracts the numbers.  </w:t>
      </w:r>
      <w:r>
        <w:rPr>
          <w:rFonts w:ascii="Garamond" w:cs="Garamond" w:eastAsia="Garamond" w:hAnsi="Garamond"/>
          <w:sz w:val="24"/>
          <w:szCs w:val="24"/>
        </w:rPr>
        <w:t xml:space="preserve">It pulls out revenue, margins, growth rates, segment mix, and multi-quarter trends.</w:t>
      </w:r>
    </w:p>
    <w:p>
      <w:pPr>
        <w:pStyle w:val="ListParagraph"/>
        <w:numPr>
          <w:ilvl w:val="0"/>
          <w:numId w:val="2"/>
        </w:numPr>
        <w:spacing w:after="90" w:line="290"/>
      </w:pPr>
      <w:r>
        <w:rPr>
          <w:rFonts w:ascii="Garamond" w:cs="Garamond" w:eastAsia="Garamond" w:hAnsi="Garamond"/>
          <w:b/>
          <w:bCs/>
          <w:sz w:val="24"/>
          <w:szCs w:val="24"/>
        </w:rPr>
        <w:t xml:space="preserve">Drafts and reviews.  </w:t>
      </w:r>
      <w:r>
        <w:rPr>
          <w:rFonts w:ascii="Garamond" w:cs="Garamond" w:eastAsia="Garamond" w:hAnsi="Garamond"/>
          <w:sz w:val="24"/>
          <w:szCs w:val="24"/>
        </w:rPr>
        <w:t xml:space="preserve">It produces a concise, neutral investor-update paragraph for each company, then runs a second pass that removes speculation and marketing language and checks that every claim traces back to the source.</w:t>
      </w:r>
    </w:p>
    <w:p>
      <w:pPr>
        <w:pStyle w:val="ListParagraph"/>
        <w:numPr>
          <w:ilvl w:val="0"/>
          <w:numId w:val="2"/>
        </w:numPr>
        <w:spacing w:after="90" w:line="290"/>
      </w:pPr>
      <w:r>
        <w:rPr>
          <w:rFonts w:ascii="Garamond" w:cs="Garamond" w:eastAsia="Garamond" w:hAnsi="Garamond"/>
          <w:b/>
          <w:bCs/>
          <w:sz w:val="24"/>
          <w:szCs w:val="24"/>
        </w:rPr>
        <w:t xml:space="preserve">Flags anomalies.  </w:t>
      </w:r>
      <w:r>
        <w:rPr>
          <w:rFonts w:ascii="Garamond" w:cs="Garamond" w:eastAsia="Garamond" w:hAnsi="Garamond"/>
          <w:sz w:val="24"/>
          <w:szCs w:val="24"/>
        </w:rPr>
        <w:t xml:space="preserve">It applies clear rules, for example growth slowing below a threshold, a meaningful margin decline, or an explicitly mentioned delay, and surfaces these as items to watch rather than hiding them.</w:t>
      </w:r>
    </w:p>
    <w:p>
      <w:pPr>
        <w:pStyle w:val="ListParagraph"/>
        <w:numPr>
          <w:ilvl w:val="0"/>
          <w:numId w:val="2"/>
        </w:numPr>
        <w:spacing w:after="90" w:line="290"/>
      </w:pPr>
      <w:r>
        <w:rPr>
          <w:rFonts w:ascii="Garamond" w:cs="Garamond" w:eastAsia="Garamond" w:hAnsi="Garamond"/>
          <w:b/>
          <w:bCs/>
          <w:sz w:val="24"/>
          <w:szCs w:val="24"/>
        </w:rPr>
        <w:t xml:space="preserve">Compiles the report.  </w:t>
      </w:r>
      <w:r>
        <w:rPr>
          <w:rFonts w:ascii="Garamond" w:cs="Garamond" w:eastAsia="Garamond" w:hAnsi="Garamond"/>
          <w:sz w:val="24"/>
          <w:szCs w:val="24"/>
        </w:rPr>
        <w:t xml:space="preserve">It builds one branded quarterly document: a Keensight cover and firm introduction, then one page per company with a metrics table, trend and segment charts, and a colour-coded watch-items table.</w:t>
      </w:r>
    </w:p>
    <w:p>
      <w:pPr>
        <w:pStyle w:val="Heading2"/>
        <w:spacing w:after="100" w:before="220"/>
      </w:pPr>
      <w:r>
        <w:rPr>
          <w:rFonts w:ascii="Garamond" w:cs="Garamond" w:eastAsia="Garamond" w:hAnsi="Garamond"/>
          <w:b/>
          <w:bCs/>
          <w:color w:val="44546A"/>
          <w:sz w:val="26"/>
          <w:szCs w:val="26"/>
        </w:rPr>
        <w:t xml:space="preserve">What the tool deliberately does not do</w:t>
      </w:r>
    </w:p>
    <w:p>
      <w:pPr>
        <w:spacing w:after="160" w:line="300"/>
        <w:jc w:val="both"/>
      </w:pPr>
      <w:r>
        <w:rPr>
          <w:rFonts w:ascii="Garamond" w:cs="Garamond" w:eastAsia="Garamond" w:hAnsi="Garamond"/>
          <w:sz w:val="24"/>
          <w:szCs w:val="24"/>
        </w:rPr>
        <w:t xml:space="preserve">It does not send anything to investors. It does not decide what should or should not be disclosed. It does not make investment judgements. It produces a draft; a person reviews and approves it. This boundary is not an afterthought: it is the core design principle, reflected in how each step is built and instructed.</w:t>
      </w:r>
    </w:p>
    <w:p>
      <w:pPr>
        <w:pStyle w:val="Heading2"/>
        <w:spacing w:after="100" w:before="220"/>
      </w:pPr>
      <w:r>
        <w:rPr>
          <w:rFonts w:ascii="Garamond" w:cs="Garamond" w:eastAsia="Garamond" w:hAnsi="Garamond"/>
          <w:b/>
          <w:bCs/>
          <w:color w:val="44546A"/>
          <w:sz w:val="26"/>
          <w:szCs w:val="26"/>
        </w:rPr>
        <w:t xml:space="preserve">The output</w:t>
      </w:r>
    </w:p>
    <w:p>
      <w:pPr>
        <w:spacing w:after="160" w:line="300"/>
        <w:jc w:val="both"/>
      </w:pPr>
      <w:r>
        <w:rPr>
          <w:rFonts w:ascii="Garamond" w:cs="Garamond" w:eastAsia="Garamond" w:hAnsi="Garamond"/>
          <w:sz w:val="24"/>
          <w:szCs w:val="24"/>
        </w:rPr>
        <w:t xml:space="preserve">The finished product is a single Google Doc per quarter, built on Keensight’s real investor-report template. The cover and firm introduction (pages one and two) come through exactly as designed. Each subsequent page presents one portfolio company with a reviewed narrative, a key-metrics table, revenue and margin trend charts, a revenue-by-segment chart, and a watch-items table whose status column is colour-coded, green for on track, amber for monitor, red for attention, so that anything requiring scrutiny is immediately visible.</w:t>
      </w:r>
    </w:p>
    <w:p>
      <w:pPr>
        <w:pStyle w:val="Heading1"/>
        <w:pageBreakBefore/>
        <w:pBdr>
          <w:bottom w:val="single" w:color="0F3854" w:sz="8" w:space="4"/>
        </w:pBdr>
        <w:spacing w:after="160" w:before="320"/>
      </w:pPr>
      <w:r>
        <w:rPr>
          <w:rFonts w:ascii="Garamond" w:cs="Garamond" w:eastAsia="Garamond" w:hAnsi="Garamond"/>
          <w:b/>
          <w:bCs/>
          <w:color w:val="0F3854"/>
          <w:sz w:val="32"/>
          <w:szCs w:val="32"/>
        </w:rPr>
        <w:t xml:space="preserve">3.  How It Works</w:t>
      </w:r>
    </w:p>
    <w:p>
      <w:pPr>
        <w:spacing w:after="160" w:line="300"/>
        <w:jc w:val="both"/>
      </w:pPr>
      <w:r>
        <w:rPr>
          <w:rFonts w:ascii="Garamond" w:cs="Garamond" w:eastAsia="Garamond" w:hAnsi="Garamond"/>
          <w:sz w:val="24"/>
          <w:szCs w:val="24"/>
        </w:rPr>
        <w:t xml:space="preserve">When a report is submitted, either uploaded through the web application or picked up by the automation directly, it passes through a sequence of clearly defined stages. Each stage does one job and hands its result to the next.</w:t>
      </w:r>
    </w:p>
    <w:p>
      <w:pPr>
        <w:pStyle w:val="Heading2"/>
        <w:spacing w:after="100" w:before="220"/>
      </w:pPr>
      <w:r>
        <w:rPr>
          <w:rFonts w:ascii="Garamond" w:cs="Garamond" w:eastAsia="Garamond" w:hAnsi="Garamond"/>
          <w:b/>
          <w:bCs/>
          <w:color w:val="44546A"/>
          <w:sz w:val="26"/>
          <w:szCs w:val="26"/>
        </w:rPr>
        <w:t xml:space="preserve">The pipeline, stage by stage</w:t>
      </w:r>
    </w:p>
    <w:p>
      <w:pPr>
        <w:pStyle w:val="ListParagraph"/>
        <w:numPr>
          <w:ilvl w:val="0"/>
          <w:numId w:val="2"/>
        </w:numPr>
        <w:spacing w:after="90" w:line="290"/>
      </w:pPr>
      <w:r>
        <w:rPr>
          <w:rFonts w:ascii="Garamond" w:cs="Garamond" w:eastAsia="Garamond" w:hAnsi="Garamond"/>
          <w:b/>
          <w:bCs/>
          <w:sz w:val="24"/>
          <w:szCs w:val="24"/>
        </w:rPr>
        <w:t xml:space="preserve">Intake.  </w:t>
      </w:r>
      <w:r>
        <w:rPr>
          <w:rFonts w:ascii="Garamond" w:cs="Garamond" w:eastAsia="Garamond" w:hAnsi="Garamond"/>
          <w:sz w:val="24"/>
          <w:szCs w:val="24"/>
        </w:rPr>
        <w:t xml:space="preserve">The PDF arrives through the web page or the automation’s built-in trigger.</w:t>
      </w:r>
    </w:p>
    <w:p>
      <w:pPr>
        <w:pStyle w:val="ListParagraph"/>
        <w:numPr>
          <w:ilvl w:val="0"/>
          <w:numId w:val="2"/>
        </w:numPr>
        <w:spacing w:after="90" w:line="290"/>
      </w:pPr>
      <w:r>
        <w:rPr>
          <w:rFonts w:ascii="Garamond" w:cs="Garamond" w:eastAsia="Garamond" w:hAnsi="Garamond"/>
          <w:b/>
          <w:bCs/>
          <w:sz w:val="24"/>
          <w:szCs w:val="24"/>
        </w:rPr>
        <w:t xml:space="preserve">Text extraction.  </w:t>
      </w:r>
      <w:r>
        <w:rPr>
          <w:rFonts w:ascii="Garamond" w:cs="Garamond" w:eastAsia="Garamond" w:hAnsi="Garamond"/>
          <w:sz w:val="24"/>
          <w:szCs w:val="24"/>
        </w:rPr>
        <w:t xml:space="preserve">The PDF is converted to plain text, a fast, essentially free step that makes every later stage cheaper and more reliable than sending an image to an AI model.</w:t>
      </w:r>
    </w:p>
    <w:p>
      <w:pPr>
        <w:pStyle w:val="ListParagraph"/>
        <w:numPr>
          <w:ilvl w:val="0"/>
          <w:numId w:val="2"/>
        </w:numPr>
        <w:spacing w:after="90" w:line="290"/>
      </w:pPr>
      <w:r>
        <w:rPr>
          <w:rFonts w:ascii="Garamond" w:cs="Garamond" w:eastAsia="Garamond" w:hAnsi="Garamond"/>
          <w:b/>
          <w:bCs/>
          <w:sz w:val="24"/>
          <w:szCs w:val="24"/>
        </w:rPr>
        <w:t xml:space="preserve">Metadata parsing.  </w:t>
      </w:r>
      <w:r>
        <w:rPr>
          <w:rFonts w:ascii="Garamond" w:cs="Garamond" w:eastAsia="Garamond" w:hAnsi="Garamond"/>
          <w:sz w:val="24"/>
          <w:szCs w:val="24"/>
        </w:rPr>
        <w:t xml:space="preserve">The tool identifies which company and which quarter the report covers, directly from the document’s own text.</w:t>
      </w:r>
    </w:p>
    <w:p>
      <w:pPr>
        <w:pStyle w:val="ListParagraph"/>
        <w:numPr>
          <w:ilvl w:val="0"/>
          <w:numId w:val="2"/>
        </w:numPr>
        <w:spacing w:after="90" w:line="290"/>
      </w:pPr>
      <w:r>
        <w:rPr>
          <w:rFonts w:ascii="Garamond" w:cs="Garamond" w:eastAsia="Garamond" w:hAnsi="Garamond"/>
          <w:b/>
          <w:bCs/>
          <w:sz w:val="24"/>
          <w:szCs w:val="24"/>
        </w:rPr>
        <w:t xml:space="preserve">AI Pass 1: Draft and extract.  </w:t>
      </w:r>
      <w:r>
        <w:rPr>
          <w:rFonts w:ascii="Garamond" w:cs="Garamond" w:eastAsia="Garamond" w:hAnsi="Garamond"/>
          <w:sz w:val="24"/>
          <w:szCs w:val="24"/>
        </w:rPr>
        <w:t xml:space="preserve">An AI model reads the full report and returns a structured result: a draft paragraph, the key metrics, the multi-quarter trends, the segment breakdown, and a set of watch items, explicitly flagging anything unusual.</w:t>
      </w:r>
    </w:p>
    <w:p>
      <w:pPr>
        <w:pStyle w:val="ListParagraph"/>
        <w:numPr>
          <w:ilvl w:val="0"/>
          <w:numId w:val="2"/>
        </w:numPr>
        <w:spacing w:after="90" w:line="290"/>
      </w:pPr>
      <w:r>
        <w:rPr>
          <w:rFonts w:ascii="Garamond" w:cs="Garamond" w:eastAsia="Garamond" w:hAnsi="Garamond"/>
          <w:b/>
          <w:bCs/>
          <w:sz w:val="24"/>
          <w:szCs w:val="24"/>
        </w:rPr>
        <w:t xml:space="preserve">AI Pass 2: Review and refine.  </w:t>
      </w:r>
      <w:r>
        <w:rPr>
          <w:rFonts w:ascii="Garamond" w:cs="Garamond" w:eastAsia="Garamond" w:hAnsi="Garamond"/>
          <w:sz w:val="24"/>
          <w:szCs w:val="24"/>
        </w:rPr>
        <w:t xml:space="preserve">A second AI pass acts as an editor: it strips speculation and promotional language, verifies that claims trace to the source, and tightens the paragraph to a measured, institutional tone.</w:t>
      </w:r>
    </w:p>
    <w:p>
      <w:pPr>
        <w:pStyle w:val="ListParagraph"/>
        <w:numPr>
          <w:ilvl w:val="0"/>
          <w:numId w:val="2"/>
        </w:numPr>
        <w:spacing w:after="90" w:line="290"/>
      </w:pPr>
      <w:r>
        <w:rPr>
          <w:rFonts w:ascii="Garamond" w:cs="Garamond" w:eastAsia="Garamond" w:hAnsi="Garamond"/>
          <w:b/>
          <w:bCs/>
          <w:sz w:val="24"/>
          <w:szCs w:val="24"/>
        </w:rPr>
        <w:t xml:space="preserve">Assemble the document.  </w:t>
      </w:r>
      <w:r>
        <w:rPr>
          <w:rFonts w:ascii="Garamond" w:cs="Garamond" w:eastAsia="Garamond" w:hAnsi="Garamond"/>
          <w:sz w:val="24"/>
          <w:szCs w:val="24"/>
        </w:rPr>
        <w:t xml:space="preserve">The tool copies the Keensight template, then writes the company section: narrative, metrics table, charts, and colour-coded watch items, in the firm’s Inter typeface, matching the template exactly.</w:t>
      </w:r>
    </w:p>
    <w:p>
      <w:pPr>
        <w:pStyle w:val="ListParagraph"/>
        <w:numPr>
          <w:ilvl w:val="0"/>
          <w:numId w:val="2"/>
        </w:numPr>
        <w:spacing w:after="90" w:line="290"/>
      </w:pPr>
      <w:r>
        <w:rPr>
          <w:rFonts w:ascii="Garamond" w:cs="Garamond" w:eastAsia="Garamond" w:hAnsi="Garamond"/>
          <w:b/>
          <w:bCs/>
          <w:sz w:val="24"/>
          <w:szCs w:val="24"/>
        </w:rPr>
        <w:t xml:space="preserve">Deliver.  </w:t>
      </w:r>
      <w:r>
        <w:rPr>
          <w:rFonts w:ascii="Garamond" w:cs="Garamond" w:eastAsia="Garamond" w:hAnsi="Garamond"/>
          <w:sz w:val="24"/>
          <w:szCs w:val="24"/>
        </w:rPr>
        <w:t xml:space="preserve">The user receives a link to the finished Google Doc. Additional companies for the same quarter are appended to the same report.</w:t>
      </w:r>
    </w:p>
    <w:p>
      <w:pPr>
        <w:pStyle w:val="Heading2"/>
        <w:spacing w:after="100" w:before="220"/>
      </w:pPr>
      <w:r>
        <w:rPr>
          <w:rFonts w:ascii="Garamond" w:cs="Garamond" w:eastAsia="Garamond" w:hAnsi="Garamond"/>
          <w:b/>
          <w:bCs/>
          <w:color w:val="44546A"/>
          <w:sz w:val="26"/>
          <w:szCs w:val="26"/>
        </w:rPr>
        <w:t xml:space="preserve">Why two AI passes instead of one</w:t>
      </w:r>
    </w:p>
    <w:p>
      <w:pPr>
        <w:spacing w:after="160" w:line="300"/>
        <w:jc w:val="both"/>
      </w:pPr>
      <w:r>
        <w:rPr>
          <w:rFonts w:ascii="Garamond" w:cs="Garamond" w:eastAsia="Garamond" w:hAnsi="Garamond"/>
          <w:sz w:val="24"/>
          <w:szCs w:val="24"/>
        </w:rPr>
        <w:t xml:space="preserve">Separating drafting from review mirrors how good writing is actually produced, and it makes the system more controllable. The first pass is asked to be thorough and to surface everything, including uncomfortable facts. The second pass is asked to be sceptical and disciplined, acting as an editor whose only loyalty is to the source document. Splitting these responsibilities produces a more factual, more neutral result than asking a single step to do both at once, and it makes each step easy to inspect and adjust independently.</w:t>
      </w:r>
    </w:p>
    <w:p>
      <w:pPr>
        <w:pStyle w:val="Heading1"/>
        <w:pageBreakBefore/>
        <w:pBdr>
          <w:bottom w:val="single" w:color="0F3854" w:sz="8" w:space="4"/>
        </w:pBdr>
        <w:spacing w:after="160" w:before="320"/>
      </w:pPr>
      <w:r>
        <w:rPr>
          <w:rFonts w:ascii="Garamond" w:cs="Garamond" w:eastAsia="Garamond" w:hAnsi="Garamond"/>
          <w:b/>
          <w:bCs/>
          <w:color w:val="0F3854"/>
          <w:sz w:val="32"/>
          <w:szCs w:val="32"/>
        </w:rPr>
        <w:t xml:space="preserve">4.  The Technology</w:t>
      </w:r>
    </w:p>
    <w:p>
      <w:pPr>
        <w:spacing w:after="160" w:line="300"/>
        <w:jc w:val="both"/>
      </w:pPr>
      <w:r>
        <w:rPr>
          <w:rFonts w:ascii="Garamond" w:cs="Garamond" w:eastAsia="Garamond" w:hAnsi="Garamond"/>
          <w:sz w:val="24"/>
          <w:szCs w:val="24"/>
        </w:rPr>
        <w:t xml:space="preserve">Every component was chosen to be reliable, inexpensive, and straightforward to run. None of it requires bespoke software to maintain, and the whole system runs on a single computer at negligible cost.</w:t>
      </w:r>
    </w:p>
    <w:p>
      <w:pPr>
        <w:spacing w:after="40"/>
      </w:pPr>
      <w:r>
        <w:rPr>
          <w:rFonts w:ascii="Garamond" w:cs="Garamond" w:eastAsia="Garamond" w:hAnsi="Garamond"/>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CCCCCC" w:sz="2"/>
              <w:left w:val="single" w:color="CCCCCC" w:sz="2"/>
              <w:bottom w:val="single" w:color="CCCCCC" w:sz="2"/>
              <w:right w:val="single" w:color="CCCCCC" w:sz="2"/>
            </w:tcBorders>
            <w:shd w:fill="0F3854" w:color="auto" w:val="clear"/>
            <w:tcMar>
              <w:top w:type="dxa" w:w="90"/>
              <w:left w:type="dxa" w:w="130"/>
              <w:bottom w:type="dxa" w:w="90"/>
              <w:right w:type="dxa" w:w="130"/>
            </w:tcMar>
          </w:tcPr>
          <w:p>
            <w:pPr>
              <w:spacing w:after="0" w:line="280"/>
            </w:pPr>
            <w:r>
              <w:rPr>
                <w:rFonts w:ascii="Garamond" w:cs="Garamond" w:eastAsia="Garamond" w:hAnsi="Garamond"/>
                <w:b/>
                <w:bCs/>
                <w:color w:val="FFFFFF"/>
                <w:sz w:val="22"/>
                <w:szCs w:val="22"/>
              </w:rPr>
              <w:t xml:space="preserve">Component</w:t>
            </w:r>
          </w:p>
        </w:tc>
        <w:tc>
          <w:tcPr>
            <w:tcW w:type="dxa" w:w="3400"/>
            <w:tcBorders>
              <w:top w:val="single" w:color="CCCCCC" w:sz="2"/>
              <w:left w:val="single" w:color="CCCCCC" w:sz="2"/>
              <w:bottom w:val="single" w:color="CCCCCC" w:sz="2"/>
              <w:right w:val="single" w:color="CCCCCC" w:sz="2"/>
            </w:tcBorders>
            <w:shd w:fill="0F3854" w:color="auto" w:val="clear"/>
            <w:tcMar>
              <w:top w:type="dxa" w:w="90"/>
              <w:left w:type="dxa" w:w="130"/>
              <w:bottom w:type="dxa" w:w="90"/>
              <w:right w:type="dxa" w:w="130"/>
            </w:tcMar>
          </w:tcPr>
          <w:p>
            <w:pPr>
              <w:spacing w:after="0" w:line="280"/>
            </w:pPr>
            <w:r>
              <w:rPr>
                <w:rFonts w:ascii="Garamond" w:cs="Garamond" w:eastAsia="Garamond" w:hAnsi="Garamond"/>
                <w:b/>
                <w:bCs/>
                <w:color w:val="FFFFFF"/>
                <w:sz w:val="22"/>
                <w:szCs w:val="22"/>
              </w:rPr>
              <w:t xml:space="preserve">What it is</w:t>
            </w:r>
          </w:p>
        </w:tc>
        <w:tc>
          <w:tcPr>
            <w:tcW w:type="dxa" w:w="4060"/>
            <w:tcBorders>
              <w:top w:val="single" w:color="CCCCCC" w:sz="2"/>
              <w:left w:val="single" w:color="CCCCCC" w:sz="2"/>
              <w:bottom w:val="single" w:color="CCCCCC" w:sz="2"/>
              <w:right w:val="single" w:color="CCCCCC" w:sz="2"/>
            </w:tcBorders>
            <w:shd w:fill="0F3854" w:color="auto" w:val="clear"/>
            <w:tcMar>
              <w:top w:type="dxa" w:w="90"/>
              <w:left w:type="dxa" w:w="130"/>
              <w:bottom w:type="dxa" w:w="90"/>
              <w:right w:type="dxa" w:w="130"/>
            </w:tcMar>
          </w:tcPr>
          <w:p>
            <w:pPr>
              <w:spacing w:after="0" w:line="280"/>
            </w:pPr>
            <w:r>
              <w:rPr>
                <w:rFonts w:ascii="Garamond" w:cs="Garamond" w:eastAsia="Garamond" w:hAnsi="Garamond"/>
                <w:b/>
                <w:bCs/>
                <w:color w:val="FFFFFF"/>
                <w:sz w:val="22"/>
                <w:szCs w:val="22"/>
              </w:rPr>
              <w:t xml:space="preserve">Why it is used</w:t>
            </w:r>
          </w:p>
        </w:tc>
      </w:tr>
      <w:tr>
        <w:trPr>
          <w:tblHeader w:val="false"/>
        </w:trPr>
        <w:tc>
          <w:tcPr>
            <w:tcW w:type="dxa" w:w="190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n8n</w:t>
            </w:r>
          </w:p>
        </w:tc>
        <w:tc>
          <w:tcPr>
            <w:tcW w:type="dxa" w:w="340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A visual automation builder: boxes for each step, connected into a flow.</w:t>
            </w:r>
          </w:p>
        </w:tc>
        <w:tc>
          <w:tcPr>
            <w:tcW w:type="dxa" w:w="406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The whole pipeline can be seen, built, and edited visually, with no heavy custom code. Free and open-source.</w:t>
            </w:r>
          </w:p>
        </w:tc>
      </w:tr>
      <w:tr>
        <w:trPr>
          <w:tblHeader w:val="false"/>
        </w:trPr>
        <w:tc>
          <w:tcPr>
            <w:tcW w:type="dxa" w:w="190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Claude (Anthropic)</w:t>
            </w:r>
          </w:p>
        </w:tc>
        <w:tc>
          <w:tcPr>
            <w:tcW w:type="dxa" w:w="340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The AI model that reads reports and writes the drafts.</w:t>
            </w:r>
          </w:p>
        </w:tc>
        <w:tc>
          <w:tcPr>
            <w:tcW w:type="dxa" w:w="406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Strong at reading long, messy documents and writing in a precise, controllable tone. The prototype uses the cheapest current model on purpose.</w:t>
            </w:r>
          </w:p>
        </w:tc>
      </w:tr>
      <w:tr>
        <w:trPr>
          <w:tblHeader w:val="false"/>
        </w:trPr>
        <w:tc>
          <w:tcPr>
            <w:tcW w:type="dxa" w:w="190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Google Docs &amp; Drive</w:t>
            </w:r>
          </w:p>
        </w:tc>
        <w:tc>
          <w:tcPr>
            <w:tcW w:type="dxa" w:w="340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Where the finished report is created and stored.</w:t>
            </w:r>
          </w:p>
        </w:tc>
        <w:tc>
          <w:tcPr>
            <w:tcW w:type="dxa" w:w="406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Universally used, instantly editable and shareable, and home to the firm’s real template.</w:t>
            </w:r>
          </w:p>
        </w:tc>
      </w:tr>
      <w:tr>
        <w:trPr>
          <w:tblHeader w:val="false"/>
        </w:trPr>
        <w:tc>
          <w:tcPr>
            <w:tcW w:type="dxa" w:w="190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QuickChart</w:t>
            </w:r>
          </w:p>
        </w:tc>
        <w:tc>
          <w:tcPr>
            <w:tcW w:type="dxa" w:w="340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A service that turns numbers into chart images.</w:t>
            </w:r>
          </w:p>
        </w:tc>
        <w:tc>
          <w:tcPr>
            <w:tcW w:type="dxa" w:w="406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Produces clean trend and bar charts that drop straight into the document.</w:t>
            </w:r>
          </w:p>
        </w:tc>
      </w:tr>
      <w:tr>
        <w:trPr>
          <w:tblHeader w:val="false"/>
        </w:trPr>
        <w:tc>
          <w:tcPr>
            <w:tcW w:type="dxa" w:w="190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React + Vite</w:t>
            </w:r>
          </w:p>
        </w:tc>
        <w:tc>
          <w:tcPr>
            <w:tcW w:type="dxa" w:w="340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The technology behind the upload web page.</w:t>
            </w:r>
          </w:p>
        </w:tc>
        <w:tc>
          <w:tcPr>
            <w:tcW w:type="dxa" w:w="406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A clean, friendly front door for the demonstration.</w:t>
            </w:r>
          </w:p>
        </w:tc>
      </w:tr>
      <w:tr>
        <w:trPr>
          <w:tblHeader w:val="false"/>
        </w:trPr>
        <w:tc>
          <w:tcPr>
            <w:tcW w:type="dxa" w:w="190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Docker</w:t>
            </w:r>
          </w:p>
        </w:tc>
        <w:tc>
          <w:tcPr>
            <w:tcW w:type="dxa" w:w="340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A way to run the automation with a single command.</w:t>
            </w:r>
          </w:p>
        </w:tc>
        <w:tc>
          <w:tcPr>
            <w:tcW w:type="dxa" w:w="406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No complicated installation, one command and it is running.</w:t>
            </w:r>
          </w:p>
        </w:tc>
      </w:tr>
      <w:tr>
        <w:trPr>
          <w:tblHeader w:val="false"/>
        </w:trPr>
        <w:tc>
          <w:tcPr>
            <w:tcW w:type="dxa" w:w="190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Python (ReportLab)</w:t>
            </w:r>
          </w:p>
        </w:tc>
        <w:tc>
          <w:tcPr>
            <w:tcW w:type="dxa" w:w="340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A small script that generates the sample reports.</w:t>
            </w:r>
          </w:p>
        </w:tc>
        <w:tc>
          <w:tcPr>
            <w:tcW w:type="dxa" w:w="4060"/>
            <w:tcBorders>
              <w:top w:val="single" w:color="CCCCCC" w:sz="2"/>
              <w:left w:val="single" w:color="CCCCCC" w:sz="2"/>
              <w:bottom w:val="single" w:color="CCCCCC" w:sz="2"/>
              <w:right w:val="single" w:color="CCCCCC" w:sz="2"/>
            </w:tcBorders>
            <w:tcMar>
              <w:top w:type="dxa" w:w="90"/>
              <w:left w:type="dxa" w:w="130"/>
              <w:bottom w:type="dxa" w:w="90"/>
              <w:right w:type="dxa" w:w="130"/>
            </w:tcMar>
          </w:tcPr>
          <w:p>
            <w:pPr>
              <w:spacing w:after="0" w:line="280"/>
            </w:pPr>
            <w:r>
              <w:rPr>
                <w:rFonts w:ascii="Garamond" w:cs="Garamond" w:eastAsia="Garamond" w:hAnsi="Garamond"/>
                <w:b w:val="false"/>
                <w:bCs w:val="false"/>
                <w:color w:val="222222"/>
                <w:sz w:val="22"/>
                <w:szCs w:val="22"/>
              </w:rPr>
              <w:t xml:space="preserve">Creates realistic, varied test data to demonstrate the tool.</w:t>
            </w:r>
          </w:p>
        </w:tc>
      </w:tr>
    </w:tbl>
    <w:p>
      <w:pPr>
        <w:pStyle w:val="Heading1"/>
        <w:pageBreakBefore/>
        <w:pBdr>
          <w:bottom w:val="single" w:color="0F3854" w:sz="8" w:space="4"/>
        </w:pBdr>
        <w:spacing w:after="160" w:before="320"/>
      </w:pPr>
      <w:r>
        <w:rPr>
          <w:rFonts w:ascii="Garamond" w:cs="Garamond" w:eastAsia="Garamond" w:hAnsi="Garamond"/>
          <w:b/>
          <w:bCs/>
          <w:color w:val="0F3854"/>
          <w:sz w:val="32"/>
          <w:szCs w:val="32"/>
        </w:rPr>
        <w:t xml:space="preserve">5.  From Prototype to Production</w:t>
      </w:r>
    </w:p>
    <w:p>
      <w:pPr>
        <w:spacing w:after="160" w:line="300"/>
        <w:jc w:val="both"/>
      </w:pPr>
      <w:r>
        <w:rPr>
          <w:rFonts w:ascii="Garamond" w:cs="Garamond" w:eastAsia="Garamond" w:hAnsi="Garamond"/>
          <w:sz w:val="24"/>
          <w:szCs w:val="24"/>
        </w:rPr>
        <w:t xml:space="preserve">This prototype proves the hard part: that messy, inconsistent portfolio reports can be reliably turned into a clean, fact-checked, branded quarterly document. Moving from a compelling demonstration to a system the firm depends on every quarter is primarily a matter of governance, reliability, and integration rather than of core capability. The main areas of work are set out below.</w:t>
      </w:r>
    </w:p>
    <w:p>
      <w:pPr>
        <w:pStyle w:val="Heading2"/>
        <w:spacing w:after="100" w:before="220"/>
      </w:pPr>
      <w:r>
        <w:rPr>
          <w:rFonts w:ascii="Garamond" w:cs="Garamond" w:eastAsia="Garamond" w:hAnsi="Garamond"/>
          <w:b/>
          <w:bCs/>
          <w:color w:val="44546A"/>
          <w:sz w:val="26"/>
          <w:szCs w:val="26"/>
        </w:rPr>
        <w:t xml:space="preserve">Reliability and scale</w:t>
      </w:r>
    </w:p>
    <w:p>
      <w:pPr>
        <w:pStyle w:val="ListParagraph"/>
        <w:numPr>
          <w:ilvl w:val="0"/>
          <w:numId w:val="2"/>
        </w:numPr>
        <w:spacing w:after="90" w:line="290"/>
      </w:pPr>
      <w:r>
        <w:rPr>
          <w:rFonts w:ascii="Garamond" w:cs="Garamond" w:eastAsia="Garamond" w:hAnsi="Garamond"/>
          <w:b/>
          <w:bCs/>
          <w:sz w:val="24"/>
          <w:szCs w:val="24"/>
        </w:rPr>
        <w:t xml:space="preserve">System of record.  </w:t>
      </w:r>
      <w:r>
        <w:rPr>
          <w:rFonts w:ascii="Garamond" w:cs="Garamond" w:eastAsia="Garamond" w:hAnsi="Garamond"/>
          <w:sz w:val="24"/>
          <w:szCs w:val="24"/>
        </w:rPr>
        <w:t xml:space="preserve">A proper database record of every report processed, with versioning and history.</w:t>
      </w:r>
    </w:p>
    <w:p>
      <w:pPr>
        <w:pStyle w:val="ListParagraph"/>
        <w:numPr>
          <w:ilvl w:val="0"/>
          <w:numId w:val="2"/>
        </w:numPr>
        <w:spacing w:after="90" w:line="290"/>
      </w:pPr>
      <w:r>
        <w:rPr>
          <w:rFonts w:ascii="Garamond" w:cs="Garamond" w:eastAsia="Garamond" w:hAnsi="Garamond"/>
          <w:b/>
          <w:bCs/>
          <w:sz w:val="24"/>
          <w:szCs w:val="24"/>
        </w:rPr>
        <w:t xml:space="preserve">Deterministic assembly.  </w:t>
      </w:r>
      <w:r>
        <w:rPr>
          <w:rFonts w:ascii="Garamond" w:cs="Garamond" w:eastAsia="Garamond" w:hAnsi="Garamond"/>
          <w:sz w:val="24"/>
          <w:szCs w:val="24"/>
        </w:rPr>
        <w:t xml:space="preserve">Guaranteed one-document-per-quarter behaviour, removing a cloud-storage timing edge case present in the prototype.</w:t>
      </w:r>
    </w:p>
    <w:p>
      <w:pPr>
        <w:pStyle w:val="ListParagraph"/>
        <w:numPr>
          <w:ilvl w:val="0"/>
          <w:numId w:val="2"/>
        </w:numPr>
        <w:spacing w:after="90" w:line="290"/>
      </w:pPr>
      <w:r>
        <w:rPr>
          <w:rFonts w:ascii="Garamond" w:cs="Garamond" w:eastAsia="Garamond" w:hAnsi="Garamond"/>
          <w:b/>
          <w:bCs/>
          <w:sz w:val="24"/>
          <w:szCs w:val="24"/>
        </w:rPr>
        <w:t xml:space="preserve">Batch processing.  </w:t>
      </w:r>
      <w:r>
        <w:rPr>
          <w:rFonts w:ascii="Garamond" w:cs="Garamond" w:eastAsia="Garamond" w:hAnsi="Garamond"/>
          <w:sz w:val="24"/>
          <w:szCs w:val="24"/>
        </w:rPr>
        <w:t xml:space="preserve">Process an entire portfolio in a single run, with automatic retries on any failure.</w:t>
      </w:r>
    </w:p>
    <w:p>
      <w:pPr>
        <w:pStyle w:val="Heading2"/>
        <w:spacing w:after="100" w:before="220"/>
      </w:pPr>
      <w:r>
        <w:rPr>
          <w:rFonts w:ascii="Garamond" w:cs="Garamond" w:eastAsia="Garamond" w:hAnsi="Garamond"/>
          <w:b/>
          <w:bCs/>
          <w:color w:val="44546A"/>
          <w:sz w:val="26"/>
          <w:szCs w:val="26"/>
        </w:rPr>
        <w:t xml:space="preserve">Trust and governance</w:t>
      </w:r>
    </w:p>
    <w:p>
      <w:pPr>
        <w:pStyle w:val="ListParagraph"/>
        <w:numPr>
          <w:ilvl w:val="0"/>
          <w:numId w:val="2"/>
        </w:numPr>
        <w:spacing w:after="90" w:line="290"/>
      </w:pPr>
      <w:r>
        <w:rPr>
          <w:rFonts w:ascii="Garamond" w:cs="Garamond" w:eastAsia="Garamond" w:hAnsi="Garamond"/>
          <w:b/>
          <w:bCs/>
          <w:sz w:val="24"/>
          <w:szCs w:val="24"/>
        </w:rPr>
        <w:t xml:space="preserve">Access control and audit.  </w:t>
      </w:r>
      <w:r>
        <w:rPr>
          <w:rFonts w:ascii="Garamond" w:cs="Garamond" w:eastAsia="Garamond" w:hAnsi="Garamond"/>
          <w:sz w:val="24"/>
          <w:szCs w:val="24"/>
        </w:rPr>
        <w:t xml:space="preserve">User accounts, permissions, and a complete log of who generated and approved each report.</w:t>
      </w:r>
    </w:p>
    <w:p>
      <w:pPr>
        <w:pStyle w:val="ListParagraph"/>
        <w:numPr>
          <w:ilvl w:val="0"/>
          <w:numId w:val="2"/>
        </w:numPr>
        <w:spacing w:after="90" w:line="290"/>
      </w:pPr>
      <w:r>
        <w:rPr>
          <w:rFonts w:ascii="Garamond" w:cs="Garamond" w:eastAsia="Garamond" w:hAnsi="Garamond"/>
          <w:b/>
          <w:bCs/>
          <w:sz w:val="24"/>
          <w:szCs w:val="24"/>
        </w:rPr>
        <w:t xml:space="preserve">Source-to-draft verification.  </w:t>
      </w:r>
      <w:r>
        <w:rPr>
          <w:rFonts w:ascii="Garamond" w:cs="Garamond" w:eastAsia="Garamond" w:hAnsi="Garamond"/>
          <w:sz w:val="24"/>
          <w:szCs w:val="24"/>
        </w:rPr>
        <w:t xml:space="preserve">A review screen placing the source report and the draft side by side, so every figure can be verified against the original in one click.</w:t>
      </w:r>
    </w:p>
    <w:p>
      <w:pPr>
        <w:pStyle w:val="ListParagraph"/>
        <w:numPr>
          <w:ilvl w:val="0"/>
          <w:numId w:val="2"/>
        </w:numPr>
        <w:spacing w:after="90" w:line="290"/>
      </w:pPr>
      <w:r>
        <w:rPr>
          <w:rFonts w:ascii="Garamond" w:cs="Garamond" w:eastAsia="Garamond" w:hAnsi="Garamond"/>
          <w:b/>
          <w:bCs/>
          <w:sz w:val="24"/>
          <w:szCs w:val="24"/>
        </w:rPr>
        <w:t xml:space="preserve">Numerical guardrails.  </w:t>
      </w:r>
      <w:r>
        <w:rPr>
          <w:rFonts w:ascii="Garamond" w:cs="Garamond" w:eastAsia="Garamond" w:hAnsi="Garamond"/>
          <w:sz w:val="24"/>
          <w:szCs w:val="24"/>
        </w:rPr>
        <w:t xml:space="preserve">Automated checks that every number in the draft actually appears in the source document.</w:t>
      </w:r>
    </w:p>
    <w:p>
      <w:pPr>
        <w:pStyle w:val="Heading2"/>
        <w:spacing w:after="100" w:before="220"/>
      </w:pPr>
      <w:r>
        <w:rPr>
          <w:rFonts w:ascii="Garamond" w:cs="Garamond" w:eastAsia="Garamond" w:hAnsi="Garamond"/>
          <w:b/>
          <w:bCs/>
          <w:color w:val="44546A"/>
          <w:sz w:val="26"/>
          <w:szCs w:val="26"/>
        </w:rPr>
        <w:t xml:space="preserve">Capability</w:t>
      </w:r>
    </w:p>
    <w:p>
      <w:pPr>
        <w:pStyle w:val="ListParagraph"/>
        <w:numPr>
          <w:ilvl w:val="0"/>
          <w:numId w:val="2"/>
        </w:numPr>
        <w:spacing w:after="90" w:line="290"/>
      </w:pPr>
      <w:r>
        <w:rPr>
          <w:rFonts w:ascii="Garamond" w:cs="Garamond" w:eastAsia="Garamond" w:hAnsi="Garamond"/>
          <w:b/>
          <w:bCs/>
          <w:sz w:val="24"/>
          <w:szCs w:val="24"/>
        </w:rPr>
        <w:t xml:space="preserve">Sharper anomaly rules.  </w:t>
      </w:r>
      <w:r>
        <w:rPr>
          <w:rFonts w:ascii="Garamond" w:cs="Garamond" w:eastAsia="Garamond" w:hAnsi="Garamond"/>
          <w:sz w:val="24"/>
          <w:szCs w:val="24"/>
        </w:rPr>
        <w:t xml:space="preserve">Anomaly detection tuned to Keensight’s own thresholds and to its Technology and Healthcare focus.</w:t>
      </w:r>
    </w:p>
    <w:p>
      <w:pPr>
        <w:pStyle w:val="ListParagraph"/>
        <w:numPr>
          <w:ilvl w:val="0"/>
          <w:numId w:val="2"/>
        </w:numPr>
        <w:spacing w:after="90" w:line="290"/>
      </w:pPr>
      <w:r>
        <w:rPr>
          <w:rFonts w:ascii="Garamond" w:cs="Garamond" w:eastAsia="Garamond" w:hAnsi="Garamond"/>
          <w:b/>
          <w:bCs/>
          <w:sz w:val="24"/>
          <w:szCs w:val="24"/>
        </w:rPr>
        <w:t xml:space="preserve">Multi-quarter narrative.  </w:t>
      </w:r>
      <w:r>
        <w:rPr>
          <w:rFonts w:ascii="Garamond" w:cs="Garamond" w:eastAsia="Garamond" w:hAnsi="Garamond"/>
          <w:sz w:val="24"/>
          <w:szCs w:val="24"/>
        </w:rPr>
        <w:t xml:space="preserve">Commentary on trends across several quarters, not only the current one.</w:t>
      </w:r>
    </w:p>
    <w:p>
      <w:pPr>
        <w:pStyle w:val="ListParagraph"/>
        <w:numPr>
          <w:ilvl w:val="0"/>
          <w:numId w:val="2"/>
        </w:numPr>
        <w:spacing w:after="90" w:line="290"/>
      </w:pPr>
      <w:r>
        <w:rPr>
          <w:rFonts w:ascii="Garamond" w:cs="Garamond" w:eastAsia="Garamond" w:hAnsi="Garamond"/>
          <w:b/>
          <w:bCs/>
          <w:sz w:val="24"/>
          <w:szCs w:val="24"/>
        </w:rPr>
        <w:t xml:space="preserve">More input formats.  </w:t>
      </w:r>
      <w:r>
        <w:rPr>
          <w:rFonts w:ascii="Garamond" w:cs="Garamond" w:eastAsia="Garamond" w:hAnsi="Garamond"/>
          <w:sz w:val="24"/>
          <w:szCs w:val="24"/>
        </w:rPr>
        <w:t xml:space="preserve">Support for spreadsheets, scanned documents, and data-room exports in addition to PDFs.</w:t>
      </w:r>
    </w:p>
    <w:p>
      <w:pPr>
        <w:pStyle w:val="ListParagraph"/>
        <w:numPr>
          <w:ilvl w:val="0"/>
          <w:numId w:val="2"/>
        </w:numPr>
        <w:spacing w:after="90" w:line="290"/>
      </w:pPr>
      <w:r>
        <w:rPr>
          <w:rFonts w:ascii="Garamond" w:cs="Garamond" w:eastAsia="Garamond" w:hAnsi="Garamond"/>
          <w:b/>
          <w:bCs/>
          <w:sz w:val="24"/>
          <w:szCs w:val="24"/>
        </w:rPr>
        <w:t xml:space="preserve">Integrated delivery.  </w:t>
      </w:r>
      <w:r>
        <w:rPr>
          <w:rFonts w:ascii="Garamond" w:cs="Garamond" w:eastAsia="Garamond" w:hAnsi="Garamond"/>
          <w:sz w:val="24"/>
          <w:szCs w:val="24"/>
        </w:rPr>
        <w:t xml:space="preserve">Governed publishing directly into the firm’s existing LP portal or data room.</w:t>
      </w:r>
    </w:p>
    <w:p>
      <w:pPr>
        <w:pStyle w:val="Heading2"/>
        <w:spacing w:after="100" w:before="220"/>
      </w:pPr>
      <w:r>
        <w:rPr>
          <w:rFonts w:ascii="Garamond" w:cs="Garamond" w:eastAsia="Garamond" w:hAnsi="Garamond"/>
          <w:b/>
          <w:bCs/>
          <w:color w:val="44546A"/>
          <w:sz w:val="26"/>
          <w:szCs w:val="26"/>
        </w:rPr>
        <w:t xml:space="preserve">Cost and control</w:t>
      </w:r>
    </w:p>
    <w:p>
      <w:pPr>
        <w:pStyle w:val="ListParagraph"/>
        <w:numPr>
          <w:ilvl w:val="0"/>
          <w:numId w:val="2"/>
        </w:numPr>
        <w:spacing w:after="90" w:line="290"/>
      </w:pPr>
      <w:r>
        <w:rPr>
          <w:rFonts w:ascii="Garamond" w:cs="Garamond" w:eastAsia="Garamond" w:hAnsi="Garamond"/>
          <w:b/>
          <w:bCs/>
          <w:sz w:val="24"/>
          <w:szCs w:val="24"/>
        </w:rPr>
        <w:t xml:space="preserve">In-house rendering.  </w:t>
      </w:r>
      <w:r>
        <w:rPr>
          <w:rFonts w:ascii="Garamond" w:cs="Garamond" w:eastAsia="Garamond" w:hAnsi="Garamond"/>
          <w:sz w:val="24"/>
          <w:szCs w:val="24"/>
        </w:rPr>
        <w:t xml:space="preserve">Self-hosted charting and document rendering, removing external dependencies.</w:t>
      </w:r>
    </w:p>
    <w:p>
      <w:pPr>
        <w:pStyle w:val="ListParagraph"/>
        <w:numPr>
          <w:ilvl w:val="0"/>
          <w:numId w:val="2"/>
        </w:numPr>
        <w:spacing w:after="90" w:line="290"/>
      </w:pPr>
      <w:r>
        <w:rPr>
          <w:rFonts w:ascii="Garamond" w:cs="Garamond" w:eastAsia="Garamond" w:hAnsi="Garamond"/>
          <w:b/>
          <w:bCs/>
          <w:sz w:val="24"/>
          <w:szCs w:val="24"/>
        </w:rPr>
        <w:t xml:space="preserve">Model selection per step.  </w:t>
      </w:r>
      <w:r>
        <w:rPr>
          <w:rFonts w:ascii="Garamond" w:cs="Garamond" w:eastAsia="Garamond" w:hAnsi="Garamond"/>
          <w:sz w:val="24"/>
          <w:szCs w:val="24"/>
        </w:rPr>
        <w:t xml:space="preserve">A cheaper model for extraction and a stronger model for the final review, tuning cost to the value of each step.</w:t>
      </w:r>
    </w:p>
    <w:p>
      <w:pPr>
        <w:pStyle w:val="Heading1"/>
        <w:pageBreakBefore/>
        <w:pBdr>
          <w:bottom w:val="single" w:color="0F3854" w:sz="8" w:space="4"/>
        </w:pBdr>
        <w:spacing w:after="160" w:before="320"/>
      </w:pPr>
      <w:r>
        <w:rPr>
          <w:rFonts w:ascii="Garamond" w:cs="Garamond" w:eastAsia="Garamond" w:hAnsi="Garamond"/>
          <w:b/>
          <w:bCs/>
          <w:color w:val="0F3854"/>
          <w:sz w:val="32"/>
          <w:szCs w:val="32"/>
        </w:rPr>
        <w:t xml:space="preserve">6.  The n8n Workflow in Detail</w:t>
      </w:r>
    </w:p>
    <w:p>
      <w:pPr>
        <w:spacing w:after="160" w:line="300"/>
        <w:jc w:val="both"/>
      </w:pPr>
      <w:r>
        <w:rPr>
          <w:rFonts w:ascii="Garamond" w:cs="Garamond" w:eastAsia="Garamond" w:hAnsi="Garamond"/>
          <w:sz w:val="24"/>
          <w:szCs w:val="24"/>
        </w:rPr>
        <w:t xml:space="preserve">Section 3 described the pipeline in business terms. This section walks through the actual automation, built in n8n, node by node. The workflow is organised into five stages, left to right, each marked with an on-canvas note so it reads like a diagram during a live walkthrough.</w:t>
      </w:r>
    </w:p>
    <w:p>
      <w:pPr>
        <w:pStyle w:val="Heading2"/>
        <w:spacing w:after="100" w:before="220"/>
      </w:pPr>
      <w:r>
        <w:rPr>
          <w:rFonts w:ascii="Garamond" w:cs="Garamond" w:eastAsia="Garamond" w:hAnsi="Garamond"/>
          <w:b/>
          <w:bCs/>
          <w:color w:val="44546A"/>
          <w:sz w:val="26"/>
          <w:szCs w:val="26"/>
        </w:rPr>
        <w:t xml:space="preserve">Stage 1: Intake</w:t>
      </w:r>
    </w:p>
    <w:p>
      <w:pPr>
        <w:spacing w:after="160" w:line="300"/>
        <w:jc w:val="both"/>
      </w:pPr>
      <w:r>
        <w:rPr>
          <w:rFonts w:ascii="Garamond" w:cs="Garamond" w:eastAsia="Garamond" w:hAnsi="Garamond"/>
          <w:sz w:val="24"/>
          <w:szCs w:val="24"/>
        </w:rPr>
        <w:t xml:space="preserve">The workflow has two possible starting points. A manual trigger picks a PDF already sitting on disk, used for local testing. A webhook receives a PDF posted from the React frontend, which is the path used in the live demonstration. Both paths converge at a single step that converts the PDF into plain text, so every stage after it works with cheap, reliable text rather than an image.</w:t>
      </w:r>
    </w:p>
    <w:p>
      <w:pPr>
        <w:pStyle w:val="Heading2"/>
        <w:spacing w:after="100" w:before="220"/>
      </w:pPr>
      <w:r>
        <w:rPr>
          <w:rFonts w:ascii="Garamond" w:cs="Garamond" w:eastAsia="Garamond" w:hAnsi="Garamond"/>
          <w:b/>
          <w:bCs/>
          <w:color w:val="44546A"/>
          <w:sz w:val="26"/>
          <w:szCs w:val="26"/>
        </w:rPr>
        <w:t xml:space="preserve">Stage 2: Metadata and two-step AI drafting</w:t>
      </w:r>
    </w:p>
    <w:p>
      <w:pPr>
        <w:spacing w:after="160" w:line="300"/>
        <w:jc w:val="both"/>
      </w:pPr>
      <w:r>
        <w:rPr>
          <w:rFonts w:ascii="Garamond" w:cs="Garamond" w:eastAsia="Garamond" w:hAnsi="Garamond"/>
          <w:sz w:val="24"/>
          <w:szCs w:val="24"/>
        </w:rPr>
        <w:t xml:space="preserve">A parsing step reads the company name and reporting quarter straight out of the extracted text, with no manual data entry. The first Claude call then reads the full report and returns a structured result: a first-draft update paragraph, a key-metrics table, revenue and margin trends, the revenue-by-segment split, and a list of watch items worth an investor’s attention. The second Claude call acts purely as an editor on the narrative paragraph, removing speculation and promotional language, checking every claim against the source report, and tightening the tone. A final step turns the structured result into the chart URLs and text blocks the document itself needs.</w:t>
      </w:r>
    </w:p>
    <w:p>
      <w:pPr>
        <w:pStyle w:val="Heading2"/>
        <w:spacing w:after="100" w:before="220"/>
      </w:pPr>
      <w:r>
        <w:rPr>
          <w:rFonts w:ascii="Garamond" w:cs="Garamond" w:eastAsia="Garamond" w:hAnsi="Garamond"/>
          <w:b/>
          <w:bCs/>
          <w:color w:val="44546A"/>
          <w:sz w:val="26"/>
          <w:szCs w:val="26"/>
        </w:rPr>
        <w:t xml:space="preserve">Stage 3: Drive folder structure</w:t>
      </w:r>
    </w:p>
    <w:p>
      <w:pPr>
        <w:spacing w:after="160" w:line="300"/>
        <w:jc w:val="both"/>
      </w:pPr>
      <w:r>
        <w:rPr>
          <w:rFonts w:ascii="Garamond" w:cs="Garamond" w:eastAsia="Garamond" w:hAnsi="Garamond"/>
          <w:sz w:val="24"/>
          <w:szCs w:val="24"/>
        </w:rPr>
        <w:t xml:space="preserve">This stage keeps every quarter’s output in one predictable place. The workflow looks for the top-level firm folder in Google Drive and creates it only if it does not yet exist, then repeats the same find-or-create pattern one level down for the dated quarter subfolder. Every company processed for a given quarter lands in the same subfolder automatically.</w:t>
      </w:r>
    </w:p>
    <w:p>
      <w:pPr>
        <w:pStyle w:val="Heading2"/>
        <w:spacing w:after="100" w:before="220"/>
      </w:pPr>
      <w:r>
        <w:rPr>
          <w:rFonts w:ascii="Garamond" w:cs="Garamond" w:eastAsia="Garamond" w:hAnsi="Garamond"/>
          <w:b/>
          <w:bCs/>
          <w:color w:val="44546A"/>
          <w:sz w:val="26"/>
          <w:szCs w:val="26"/>
        </w:rPr>
        <w:t xml:space="preserve">Stage 4: Quarterly document lookup</w:t>
      </w:r>
    </w:p>
    <w:p>
      <w:pPr>
        <w:spacing w:after="160" w:line="300"/>
        <w:jc w:val="both"/>
      </w:pPr>
      <w:r>
        <w:rPr>
          <w:rFonts w:ascii="Garamond" w:cs="Garamond" w:eastAsia="Garamond" w:hAnsi="Garamond"/>
          <w:sz w:val="24"/>
          <w:szCs w:val="24"/>
        </w:rPr>
        <w:t xml:space="preserve">The workflow checks whether a Google Doc already exists for this quarter. If not, it is created by copying the firm’s real investor-report template, preserving the cover page and firm introduction exactly as designed. A branching step then decides which write path runs next, since a brand-new document needs its first company section written differently from a document that already contains other companies.</w:t>
      </w:r>
    </w:p>
    <w:p>
      <w:pPr>
        <w:pStyle w:val="Heading2"/>
        <w:spacing w:after="100" w:before="220"/>
      </w:pPr>
      <w:r>
        <w:rPr>
          <w:rFonts w:ascii="Garamond" w:cs="Garamond" w:eastAsia="Garamond" w:hAnsi="Garamond"/>
          <w:b/>
          <w:bCs/>
          <w:color w:val="44546A"/>
          <w:sz w:val="26"/>
          <w:szCs w:val="26"/>
        </w:rPr>
        <w:t xml:space="preserve">Stage 5: Write, style, and output</w:t>
      </w:r>
    </w:p>
    <w:p>
      <w:pPr>
        <w:spacing w:after="160" w:line="300"/>
        <w:jc w:val="both"/>
      </w:pPr>
      <w:r>
        <w:rPr>
          <w:rFonts w:ascii="Garamond" w:cs="Garamond" w:eastAsia="Garamond" w:hAnsi="Garamond"/>
          <w:sz w:val="24"/>
          <w:szCs w:val="24"/>
        </w:rPr>
        <w:t xml:space="preserve">One path writes directly into a fresh template copy; the other inserts a page break and writes into a document that already has content. Both converge at a single point before styling begins. Styling runs in two passes, which proved necessary because filling text into one table shifts the character positions of every table that follows it in the document. The first pass writes plain text into every table cell only; the document is then re-fetched so every position is known and settled, and the second pass applies fonts, colours, bold formatting, and paragraph-style resets against that settled document. The final step returns the finished document link and the reviewed paragraph, which is also what the webhook sends back to the frontend.</w:t>
      </w:r>
    </w:p>
    <w:p>
      <w:pPr>
        <w:pStyle w:val="Heading2"/>
        <w:spacing w:after="100" w:before="220"/>
      </w:pPr>
      <w:r>
        <w:rPr>
          <w:rFonts w:ascii="Garamond" w:cs="Garamond" w:eastAsia="Garamond" w:hAnsi="Garamond"/>
          <w:b/>
          <w:bCs/>
          <w:color w:val="44546A"/>
          <w:sz w:val="26"/>
          <w:szCs w:val="26"/>
        </w:rPr>
        <w:t xml:space="preserve">Why this structure was chosen</w:t>
      </w:r>
    </w:p>
    <w:p>
      <w:pPr>
        <w:spacing w:after="160" w:line="300"/>
        <w:jc w:val="both"/>
      </w:pPr>
      <w:r>
        <w:rPr>
          <w:rFonts w:ascii="Garamond" w:cs="Garamond" w:eastAsia="Garamond" w:hAnsi="Garamond"/>
          <w:sz w:val="24"/>
          <w:szCs w:val="24"/>
        </w:rPr>
        <w:t xml:space="preserve">Building the pipeline as a visual, node-by-node flow rather than a single opaque script keeps every step inspectable and independently adjustable: a reviewer can open the workflow, see exactly what each stage does, and trace precisely how a given number or sentence in the final document was produced. The two-pass styling approach and the find-or-create folder pattern are both examples of a broader principle followed throughout: prefer an explicit, visible extra step over a fragile shortcut.</w:t>
      </w:r>
    </w:p>
    <w:p>
      <w:pPr>
        <w:pStyle w:val="Heading1"/>
        <w:pageBreakBefore/>
        <w:pBdr>
          <w:bottom w:val="single" w:color="0F3854" w:sz="8" w:space="4"/>
        </w:pBdr>
        <w:spacing w:after="160" w:before="320"/>
      </w:pPr>
      <w:r>
        <w:rPr>
          <w:rFonts w:ascii="Garamond" w:cs="Garamond" w:eastAsia="Garamond" w:hAnsi="Garamond"/>
          <w:b/>
          <w:bCs/>
          <w:color w:val="0F3854"/>
          <w:sz w:val="32"/>
          <w:szCs w:val="32"/>
        </w:rPr>
        <w:t xml:space="preserve">7.  Conclusion</w:t>
      </w:r>
    </w:p>
    <w:p>
      <w:pPr>
        <w:spacing w:after="160" w:line="300"/>
        <w:jc w:val="both"/>
      </w:pPr>
      <w:r>
        <w:rPr>
          <w:rFonts w:ascii="Garamond" w:cs="Garamond" w:eastAsia="Garamond" w:hAnsi="Garamond"/>
          <w:sz w:val="24"/>
          <w:szCs w:val="24"/>
        </w:rPr>
        <w:t xml:space="preserve">The LP Reporting Assistant addresses a real, recurring, and costly task with a focused, human-supervised design. It reads the varied reports that portfolio companies actually send, extracts and verifies the figures that matter, flags what deserves attention, and assembles a branded quarterly report on the firm’s own template, all while leaving the final judgement, and the act of sending, firmly with a person.</w:t>
      </w:r>
    </w:p>
    <w:p>
      <w:pPr>
        <w:spacing w:after="160" w:line="300"/>
        <w:jc w:val="both"/>
      </w:pPr>
      <w:r>
        <w:rPr>
          <w:rFonts w:ascii="Garamond" w:cs="Garamond" w:eastAsia="Garamond" w:hAnsi="Garamond"/>
          <w:sz w:val="24"/>
          <w:szCs w:val="24"/>
        </w:rPr>
        <w:t xml:space="preserve">For an investor-relations or performance team, the value is straightforward: less time spent transcribing and formatting, more time spent verifying and thinking; greater consistency across companies and quarters; and fewer overlooked anomalies. For the firm, it is a demonstration that thoughtful, well-bounded automation can raise both the efficiency and the quality of a core investor obligation.</w:t>
      </w:r>
    </w:p>
    <w:p>
      <w:pPr>
        <w:spacing w:after="160" w:line="300"/>
        <w:jc w:val="both"/>
      </w:pPr>
      <w:r>
        <w:rPr>
          <w:rFonts w:ascii="Garamond" w:cs="Garamond" w:eastAsia="Garamond" w:hAnsi="Garamond"/>
          <w:sz w:val="24"/>
          <w:szCs w:val="24"/>
        </w:rPr>
        <w:t xml:space="preserve">The prototype is complete and functional today. The path forward is well understood and incremental: strengthen the governance and reliability, deepen the analytical capability, and integrate with the systems the firm already relies on. The foundation, turning raw, inconsistent inputs into a trustworthy, polished output, is already in place.</w:t>
      </w:r>
    </w:p>
    <w:p>
      <w:pPr>
        <w:spacing w:after="240"/>
      </w:pPr>
      <w:r>
        <w:rPr>
          <w:rFonts w:ascii="Garamond" w:cs="Garamond" w:eastAsia="Garamond" w:hAnsi="Garamond"/>
        </w:rPr>
        <w:t xml:space="preserve"/>
      </w:r>
    </w:p>
    <w:p>
      <w:pPr>
        <w:jc w:val="center"/>
      </w:pPr>
      <w:r>
        <w:rPr>
          <w:rFonts w:ascii="Garamond" w:cs="Garamond" w:eastAsia="Garamond" w:hAnsi="Garamond"/>
          <w:i/>
          <w:iCs/>
          <w:color w:val="666666"/>
          <w:sz w:val="20"/>
          <w:szCs w:val="20"/>
        </w:rPr>
        <w:t xml:space="preserve">This is a demonstration prototype. All portfolio companies, figures, and events in the sample data are fictional. The tool produces drafts for human review and does not send communications or make decisions on its own.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66666"/>
        <w:sz w:val="18"/>
        <w:szCs w:val="18"/>
      </w:rPr>
      <w:t xml:space="preserve">Keensight Capital  ·  LP Reporting Assistant  ·  Page </w:t>
    </w:r>
    <w:r>
      <w:rPr>
        <w:rFonts w:ascii="Garamond" w:cs="Garamond" w:eastAsia="Garamond" w:hAnsi="Garamond"/>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LP Reporting Assistant: Use-Case Report</dc:title>
  <dc:creator>Keensight Capital</dc:creator>
  <cp:lastModifiedBy>Un-named</cp:lastModifiedBy>
  <cp:revision>1</cp:revision>
  <dcterms:created xsi:type="dcterms:W3CDTF">2026-07-07T21:24:21.785Z</dcterms:created>
  <dcterms:modified xsi:type="dcterms:W3CDTF">2026-07-07T21:24:21.789Z</dcterms:modified>
</cp:coreProperties>
</file>

<file path=docProps/custom.xml><?xml version="1.0" encoding="utf-8"?>
<Properties xmlns="http://schemas.openxmlformats.org/officeDocument/2006/custom-properties" xmlns:vt="http://schemas.openxmlformats.org/officeDocument/2006/docPropsVTypes"/>
</file>