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C-SS-WEB-Q2-2025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sss</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sss</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sss</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sss</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C-SS-WEB-Q2-2025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sss</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sss</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sss</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C-SS-WEB-Q2-2025</w:t>
                      </w:r>
                    </w:p>
                  </w:txbxContent>
                </v:textbox>
              </v:shape>
            </w:pict>
          </mc:Fallback>
        </mc:AlternateContent>
      </w:r>
    </w:p>
    <w:tbl>
      <w:tblPr>
        <w:tblStyle w:val="TableGrid"/>
        <w:tblW w:type="auto" w:w="0"/>
        <w:tblLook w:firstColumn="1" w:firstRow="1" w:lastColumn="0" w:lastRow="0" w:noHBand="0" w:noVBand="1" w:val="04A0"/>
      </w:tblPr>
      <w:tblGrid>
        <w:gridCol w:w="8640"/>
      </w:tblGrid>
      <w:tr>
        <w:tc>
          <w:tcPr>
            <w:tcW w:type="dxa" w:w="8640"/>
            <w:shd w:fill="#990000"/>
          </w:tcPr>
          <w:p>
            <w:pPr>
              <w:jc w:val="left"/>
            </w:pPr>
            <w:r>
              <w:rPr>
                <w:rFonts w:ascii="Altone Trial" w:hAnsi="Altone Trial"/>
                <w:b/>
                <w:color w:val="FFFFFF"/>
                <w:sz w:val="32"/>
              </w:rPr>
              <w:t>VUL-001: Unauthenticated File Upload</w:t>
            </w:r>
          </w:p>
        </w:tc>
      </w:tr>
      <w:tr>
        <w:tc>
          <w:tcPr>
            <w:tcW w:type="dxa" w:w="864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864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864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864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864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864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864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864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070685"/>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VUL-002: Sensitive Data Exposure</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222500"/>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0000"/>
          </w:tcPr>
          <w:p>
            <w:pPr>
              <w:jc w:val="left"/>
            </w:pPr>
            <w:r>
              <w:rPr>
                <w:rFonts w:ascii="Altone Trial" w:hAnsi="Altone Trial"/>
                <w:b/>
                <w:color w:val="FFFFFF"/>
                <w:sz w:val="32"/>
              </w:rPr>
              <w:t>VUL-003: SQL Injection in Login</w:t>
            </w:r>
          </w:p>
        </w:tc>
      </w:tr>
      <w:tr>
        <w:tc>
          <w:tcPr>
            <w:tcW w:type="dxa" w:w="864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864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864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864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864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864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864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864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572000" cy="2584876"/>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VUL-004: Cross-Site Scripting (XSS)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572000" cy="2590529"/>
                          </a:xfrm>
                          <a:prstGeom prst="rect"/>
                        </pic:spPr>
                      </pic:pic>
                    </a:graphicData>
                  </a:graphic>
                </wp:inline>
              </w:drawing>
            </w:r>
          </w:p>
        </w:tc>
      </w:tr>
    </w:tbl>
    <w:p>
      <w:r>
        <w:br w:type="page"/>
      </w:r>
    </w:p>
    <w:tbl>
      <w:tblPr>
        <w:tblStyle w:val="TableGrid"/>
        <w:tblW w:type="auto" w:w="0"/>
        <w:tblLook w:firstColumn="1" w:firstRow="1" w:lastColumn="0" w:lastRow="0" w:noHBand="0" w:noVBand="1" w:val="04A0"/>
      </w:tblPr>
      <w:tblGrid>
        <w:gridCol w:w="8640"/>
      </w:tblGrid>
      <w:tr>
        <w:tc>
          <w:tcPr>
            <w:tcW w:type="dxa" w:w="8640"/>
            <w:shd w:fill="#FFCC00"/>
          </w:tcPr>
          <w:p>
            <w:pPr>
              <w:jc w:val="left"/>
            </w:pPr>
            <w:r>
              <w:rPr>
                <w:rFonts w:ascii="Altone Trial" w:hAnsi="Altone Trial"/>
                <w:b/>
                <w:color w:val="FFFFFF"/>
                <w:sz w:val="32"/>
              </w:rPr>
              <w:t>VUL-005: Insecure Direct Object References</w:t>
            </w:r>
          </w:p>
        </w:tc>
      </w:tr>
      <w:tr>
        <w:tc>
          <w:tcPr>
            <w:tcW w:type="dxa" w:w="864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864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864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864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864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864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864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864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72000" cy="3611159"/>
                          </a:xfrm>
                          <a:prstGeom prst="rect"/>
                        </pic:spPr>
                      </pic:pic>
                    </a:graphicData>
                  </a:graphic>
                </wp:inline>
              </w:drawing>
            </w:r>
          </w:p>
        </w:tc>
      </w:tr>
    </w:tbl>
    <w:p>
      <w:r>
        <w:br w:type="page"/>
      </w:r>
    </w:p>
    <w:p w14:paraId="571B5057">
      <w:pPr>
        <w:pStyle w:val="2"/>
        <w:rPr>
          <w:rFonts w:hint="default" w:ascii="Altone Trial" w:hAnsi="Altone Trial" w:eastAsia="Calibri" w:cs="Altone Trial"/>
          <w:b/>
          <w:bCs/>
          <w:color w:val="7030A0" w:themeColor="accent6"/>
          <w:sz w:val="56"/>
          <w:szCs w:val="56"/>
          <w:lang w:eastAsia="en-IN"/>
          <w14:textFill>
            <w14:solidFill>
              <w14:schemeClr w14:val="accent6"/>
            </w14:solidFill>
          </w14:textFill>
        </w:rPr>
      </w:pPr>
      <w:bookmarkStart w:id="17" w:name="_Toc131542991"/>
      <w:r>
        <w:rPr>
          <w:rFonts w:hint="default" w:ascii="Altone Trial" w:hAnsi="Altone Trial" w:eastAsia="Calibri" w:cs="Altone Trial"/>
          <w:b/>
          <w:bCs/>
          <w:color w:val="7030A0" w:themeColor="accent6"/>
          <w:sz w:val="56"/>
          <w:szCs w:val="56"/>
          <w:lang w:eastAsia="en-IN"/>
          <w14:textFill>
            <w14:solidFill>
              <w14:schemeClr w14:val="accent6"/>
            </w14:solidFill>
          </w14:textFill>
        </w:rPr>
        <w:t>SUMMARY OF FINDINGS &amp; CONCLUSION:</w:t>
      </w:r>
      <w:bookmarkEnd w:id="13"/>
      <w:bookmarkEnd w:id="14"/>
      <w:bookmarkEnd w:id="15"/>
      <w:bookmarkEnd w:id="16"/>
      <w:bookmarkEnd w:id="17"/>
    </w:p>
    <w:p w14:paraId="4DE5F7DD">
      <w:pPr>
        <w:tabs>
          <w:tab w:val="left" w:pos="1320"/>
        </w:tabs>
        <w:jc w:val="both"/>
        <w:rPr>
          <w:rFonts w:hint="default" w:ascii="Altone Trial" w:hAnsi="Altone Trial" w:eastAsia="Calibri" w:cs="Altone Trial"/>
        </w:rPr>
      </w:pPr>
    </w:p>
    <w:p w14:paraId="0A62C676">
      <w:pPr>
        <w:jc w:val="both"/>
        <w:rPr>
          <w:rFonts w:hint="default" w:ascii="Altone Trial" w:hAnsi="Altone Trial" w:eastAsia="Calibri" w:cs="Altone Trial"/>
        </w:rPr>
      </w:pPr>
      <w:r>
        <w:rPr>
          <w:rFonts w:hint="default" w:ascii="Altone Trial" w:hAnsi="Altone Trial" w:eastAsia="Calibri" w:cs="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14:paraId="0A6442EF">
      <w:pPr>
        <w:jc w:val="both"/>
        <w:rPr>
          <w:rFonts w:hint="default" w:ascii="Altone Trial" w:hAnsi="Altone Trial" w:eastAsia="Calibri" w:cs="Altone Trial"/>
        </w:rPr>
      </w:pPr>
    </w:p>
    <w:p w14:paraId="436888CA">
      <w:pPr>
        <w:jc w:val="both"/>
        <w:rPr>
          <w:rFonts w:hint="default" w:ascii="Altone Trial" w:hAnsi="Altone Trial" w:eastAsia="Calibri" w:cs="Altone Trial"/>
        </w:rPr>
      </w:pPr>
      <w:r>
        <w:rPr>
          <w:rFonts w:hint="default" w:ascii="Altone Trial" w:hAnsi="Altone Trial" w:eastAsia="Calibri" w:cs="Altone Trial"/>
        </w:rPr>
        <w:t>The assessment</w:t>
      </w:r>
      <w:r>
        <w:rPr>
          <w:rFonts w:hint="default" w:ascii="Altone Trial" w:hAnsi="Altone Trial" w:eastAsia="Calibri" w:cs="Altone Trial"/>
          <w:b/>
        </w:rPr>
        <w:t xml:space="preserve"> </w:t>
      </w:r>
      <w:r>
        <w:rPr>
          <w:rFonts w:hint="default" w:ascii="Altone Trial" w:hAnsi="Altone Trial" w:eastAsia="Calibri" w:cs="Altone Trial"/>
        </w:rPr>
        <w:t xml:space="preserve">was only possible because </w:t>
      </w:r>
      <w:r>
        <w:rPr>
          <w:rFonts w:hint="default" w:ascii="Altone Trial" w:hAnsi="Altone Trial" w:eastAsia="Calibri" w:cs="Altone Trial"/>
          <w:b/>
        </w:rPr>
        <w:t xml:space="preserve">joint support </w:t>
      </w:r>
      <w:r>
        <w:rPr>
          <w:rFonts w:hint="default" w:ascii="Altone Trial" w:hAnsi="Altone Trial" w:eastAsia="Calibri" w:cs="Altone Trial"/>
        </w:rPr>
        <w:t xml:space="preserve">&amp; </w:t>
      </w:r>
      <w:r>
        <w:rPr>
          <w:rFonts w:hint="default" w:ascii="Altone Trial" w:hAnsi="Altone Trial" w:eastAsia="Calibri" w:cs="Altone Trial"/>
          <w:b/>
        </w:rPr>
        <w:t xml:space="preserve">coordination </w:t>
      </w:r>
      <w:r>
        <w:rPr>
          <w:rFonts w:hint="default" w:ascii="Altone Trial" w:hAnsi="Altone Trial" w:eastAsia="Calibri" w:cs="Altone Trial"/>
        </w:rPr>
        <w:t xml:space="preserve">from the </w:t>
      </w:r>
      <w:r>
        <w:rPr>
          <w:rFonts w:hint="default" w:ascii="Altone Trial" w:hAnsi="Altone Trial" w:eastAsia="Calibri" w:cs="Altone Trial"/>
          <w:b/>
        </w:rPr>
        <w:t xml:space="preserve">information security team of organization </w:t>
      </w:r>
      <w:r>
        <w:rPr>
          <w:rFonts w:hint="default" w:ascii="Altone Trial" w:hAnsi="Altone Trial" w:eastAsia="Calibri" w:cs="Altone Trial"/>
        </w:rPr>
        <w:t xml:space="preserve">for </w:t>
      </w:r>
      <w:r>
        <w:rPr>
          <w:rFonts w:hint="default" w:ascii="Altone Trial" w:hAnsi="Altone Trial" w:eastAsia="Calibri" w:cs="Altone Trial"/>
          <w:b/>
        </w:rPr>
        <w:t xml:space="preserve">sharing &amp; coordinating </w:t>
      </w:r>
      <w:r>
        <w:rPr>
          <w:rFonts w:hint="default" w:ascii="Altone Trial" w:hAnsi="Altone Trial" w:eastAsia="Calibri" w:cs="Altone Trial"/>
        </w:rPr>
        <w:t xml:space="preserve">during the assessment period. It is advised to refer the </w:t>
      </w:r>
      <w:r>
        <w:rPr>
          <w:rFonts w:hint="default" w:ascii="Altone Trial" w:hAnsi="Altone Trial" w:eastAsia="Calibri" w:cs="Altone Trial"/>
          <w:b/>
        </w:rPr>
        <w:t xml:space="preserve">Technical Report </w:t>
      </w:r>
      <w:r>
        <w:rPr>
          <w:rFonts w:hint="default" w:ascii="Altone Trial" w:hAnsi="Altone Trial" w:eastAsia="Calibri" w:cs="Altone Trial"/>
        </w:rPr>
        <w:t xml:space="preserve">for understanding </w:t>
      </w:r>
      <w:r>
        <w:rPr>
          <w:rFonts w:hint="default" w:ascii="Altone Trial" w:hAnsi="Altone Trial" w:eastAsia="Calibri" w:cs="Altone Trial"/>
          <w:b/>
        </w:rPr>
        <w:t xml:space="preserve">in-depth of vulnerabilities </w:t>
      </w:r>
      <w:r>
        <w:rPr>
          <w:rFonts w:hint="default" w:ascii="Altone Trial" w:hAnsi="Altone Trial" w:eastAsia="Calibri" w:cs="Altone Trial"/>
        </w:rPr>
        <w:t xml:space="preserve">that were discovered </w:t>
      </w:r>
      <w:r>
        <w:rPr>
          <w:rFonts w:hint="default" w:ascii="Altone Trial" w:hAnsi="Altone Trial" w:eastAsia="Calibri" w:cs="Altone Trial"/>
          <w:b/>
        </w:rPr>
        <w:t xml:space="preserve">by technical team of CyberSmithSECURE Pvt. Ltd. </w:t>
      </w:r>
    </w:p>
    <w:p w14:paraId="1C548F8B">
      <w:pPr>
        <w:jc w:val="both"/>
        <w:rPr>
          <w:rFonts w:hint="default" w:ascii="Altone Trial" w:hAnsi="Altone Trial" w:eastAsia="Calibri" w:cs="Altone Trial"/>
        </w:rPr>
      </w:pPr>
    </w:p>
    <w:p w14:paraId="73137905">
      <w:pPr>
        <w:jc w:val="both"/>
        <w:rPr>
          <w:rFonts w:hint="default" w:ascii="Altone Trial" w:hAnsi="Altone Trial" w:eastAsia="Calibri" w:cs="Altone Trial"/>
        </w:rPr>
      </w:pPr>
      <w:r>
        <w:rPr>
          <w:rFonts w:hint="default" w:ascii="Altone Trial" w:hAnsi="Altone Trial" w:eastAsia="Calibri" w:cs="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14:paraId="4D16B77E">
      <w:pPr>
        <w:jc w:val="both"/>
        <w:rPr>
          <w:rFonts w:hint="default" w:ascii="Altone Trial" w:hAnsi="Altone Trial" w:eastAsia="Calibri" w:cs="Altone Trial"/>
          <w:color w:val="404040"/>
        </w:rPr>
      </w:pPr>
    </w:p>
    <w:p w14:paraId="7B8A2E38">
      <w:pPr>
        <w:spacing w:line="249" w:lineRule="auto"/>
        <w:jc w:val="both"/>
        <w:rPr>
          <w:rFonts w:hint="default" w:ascii="Altone Trial" w:hAnsi="Altone Trial" w:eastAsia="Calibri" w:cs="Altone Trial"/>
          <w:color w:val="7030A0"/>
        </w:rPr>
      </w:pPr>
      <w:r>
        <w:rPr>
          <w:rFonts w:hint="default" w:ascii="Altone Trial" w:hAnsi="Altone Trial" w:eastAsia="Calibri" w:cs="Altone Trial"/>
          <w:b/>
          <w:color w:val="7030A0"/>
        </w:rPr>
        <w:t>We thank internal Information Security team for their support &amp; cooperation during the time of assessment.</w:t>
      </w:r>
      <w:r>
        <w:rPr>
          <w:rFonts w:hint="default" w:ascii="Altone Trial" w:hAnsi="Altone Trial" w:eastAsia="Calibri" w:cs="Altone Trial"/>
          <w:color w:val="7030A0"/>
        </w:rPr>
        <w:t xml:space="preserve"> </w:t>
      </w:r>
    </w:p>
    <w:p w14:paraId="7F1C0530">
      <w:pPr>
        <w:tabs>
          <w:tab w:val="left" w:pos="1779"/>
        </w:tabs>
        <w:rPr>
          <w:rFonts w:hint="default" w:ascii="Altone Trial" w:hAnsi="Altone Trial" w:cs="Altone Trial"/>
          <w:sz w:val="24"/>
          <w:szCs w:val="24"/>
        </w:rPr>
      </w:pP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