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24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24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C-Z-WEB-Q2-2025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z</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z</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z</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z</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C-Z-WEB-Q2-2025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Changes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Clint</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2025-12-12</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z</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z</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z</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p w14:paraId="63973B1D">
      <w:pPr>
        <w:rPr>
          <w:rFonts w:hint="default" w:ascii="Altone Trial" w:hAnsi="Altone Trial" w:cs="Altone Trial"/>
          <w:b/>
          <w:bCs/>
          <w:sz w:val="24"/>
          <w:szCs w:val="24"/>
        </w:rPr>
      </w:pPr>
      <w:r>
        <w:rPr>
          <w:rFonts w:hint="default" w:ascii="Altone Trial" w:hAnsi="Altone Trial"/>
          <w:b/>
          <w:bCs/>
          <w:sz w:val="24"/>
          <w:szCs w:val="24"/>
        </w:rPr>
        <w:t>_VULNERABILITY_SUMMARY_TABLE_PLACEHOLDER_</w:t>
      </w:r>
    </w:p>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C-Z-WEB-Q2-2025</w:t>
                      </w:r>
                    </w:p>
                  </w:txbxContent>
                </v:textbox>
              </v:shape>
            </w:pict>
          </mc:Fallback>
        </mc:AlternateContent>
      </w:r>
    </w:p>
    <w:p>
      <w:r>
        <w:br w:type="page"/>
      </w:r>
    </w:p>
    <w:p>
      <w:r>
        <w:rPr>
          <w:rFonts w:ascii="Altone Trial" w:hAnsi="Altone Trial"/>
          <w:b/>
          <w:color w:val="660099"/>
          <w:sz w:val="56"/>
        </w:rPr>
        <w:t>Vulnerability Findings</w:t>
      </w:r>
    </w:p>
    <w:tbl>
      <w:tblPr>
        <w:tblStyle w:val="TableGrid"/>
        <w:tblW w:type="auto" w:w="0"/>
        <w:tblLook w:firstColumn="1" w:firstRow="1" w:lastColumn="0" w:lastRow="0" w:noHBand="0" w:noVBand="1" w:val="04A0"/>
      </w:tblPr>
      <w:tblGrid>
        <w:gridCol w:w="8640"/>
      </w:tblGrid>
      <w:tr>
        <w:tc>
          <w:tcPr>
            <w:tcW w:type="dxa" w:w="8640"/>
            <w:shd w:fill="#9900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VUL-001: Unauthenticated File Upload</w:t>
            </w:r>
          </w:p>
        </w:tc>
      </w:tr>
      <w:tr>
        <w:tc>
          <w:tcPr>
            <w:tcW w:type="dxa" w:w="8640"/>
            <w:shd w:fill="#FF3333"/>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3657600" cy="282133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821336"/>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3657600" cy="56896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56896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3657600" cy="165654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1656548"/>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VUL-002: SQL Injection in Login</w:t>
            </w:r>
          </w:p>
        </w:tc>
      </w:tr>
      <w:tr>
        <w:tc>
          <w:tcPr>
            <w:tcW w:type="dxa" w:w="8640"/>
            <w:shd w:fill="#FF66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spacing w:after="120"/>
            </w:pPr>
          </w:p>
          <w:p>
            <w:pPr>
              <w:ind w:left="200"/>
            </w:pPr>
            <w:r>
              <w:rPr>
                <w:rFonts w:ascii="Altone Trial" w:hAnsi="Altone Trial"/>
                <w:b w:val="0"/>
                <w:sz w:val="22"/>
              </w:rPr>
              <w:t>Step 2: Input username=' OR 1=1 --</w:t>
            </w:r>
          </w:p>
          <w:p>
            <w:pPr>
              <w:spacing w:after="120"/>
            </w:pPr>
          </w:p>
          <w:p>
            <w:pPr>
              <w:ind w:left="200"/>
            </w:pPr>
            <w:r>
              <w:rPr>
                <w:rFonts w:ascii="Altone Trial" w:hAnsi="Altone Trial"/>
                <w:b w:val="0"/>
                <w:sz w:val="22"/>
              </w:rPr>
              <w:t>Step 3: Observe authentication bypass</w:t>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VUL-003: Cross-Site Scripting (XSS)</w:t>
            </w:r>
          </w:p>
        </w:tc>
      </w:tr>
      <w:tr>
        <w:tc>
          <w:tcPr>
            <w:tcW w:type="dxa" w:w="8640"/>
            <w:shd w:fill="#FFCC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spacing w:after="120"/>
            </w:pPr>
          </w:p>
          <w:p>
            <w:pPr>
              <w:ind w:left="200"/>
            </w:pPr>
            <w:r>
              <w:rPr>
                <w:rFonts w:ascii="Altone Trial" w:hAnsi="Altone Trial"/>
                <w:b w:val="0"/>
                <w:sz w:val="22"/>
              </w:rPr>
              <w:t>Step 2: Input &lt;script&gt;alert("XSS")&lt;/script&gt;</w:t>
            </w:r>
          </w:p>
          <w:p>
            <w:pPr>
              <w:spacing w:after="120"/>
            </w:pPr>
          </w:p>
          <w:p>
            <w:pPr>
              <w:ind w:left="200"/>
            </w:pPr>
            <w:r>
              <w:rPr>
                <w:rFonts w:ascii="Altone Trial" w:hAnsi="Altone Trial"/>
                <w:b w:val="0"/>
                <w:sz w:val="22"/>
              </w:rPr>
              <w:t>Step 3: Observe script execution</w:t>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VUL-004: Insecure Direct Object References</w:t>
            </w:r>
          </w:p>
        </w:tc>
      </w:tr>
      <w:tr>
        <w:tc>
          <w:tcPr>
            <w:tcW w:type="dxa" w:w="8640"/>
            <w:shd w:fill="#FFCC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spacing w:after="120"/>
            </w:pPr>
          </w:p>
          <w:p>
            <w:pPr>
              <w:ind w:left="200"/>
            </w:pPr>
            <w:r>
              <w:rPr>
                <w:rFonts w:ascii="Altone Trial" w:hAnsi="Altone Trial"/>
                <w:b w:val="0"/>
                <w:sz w:val="22"/>
              </w:rPr>
              <w:t>Step 2: Access /profile.php?id=1</w:t>
            </w:r>
          </w:p>
          <w:p>
            <w:pPr>
              <w:spacing w:after="120"/>
            </w:pPr>
          </w:p>
          <w:p>
            <w:pPr>
              <w:ind w:left="200"/>
            </w:pPr>
            <w:r>
              <w:rPr>
                <w:rFonts w:ascii="Altone Trial" w:hAnsi="Altone Trial"/>
                <w:b w:val="0"/>
                <w:sz w:val="22"/>
              </w:rPr>
              <w:t>Step 3: Observe admin data access</w:t>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VUL-005: Sensitive Data Exposure</w:t>
            </w:r>
          </w:p>
        </w:tc>
      </w:tr>
      <w:tr>
        <w:tc>
          <w:tcPr>
            <w:tcW w:type="dxa" w:w="8640"/>
            <w:shd w:fill="#FF66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3657600" cy="56896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5689600"/>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3657600" cy="1656548"/>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1656548"/>
                          </a:xfrm>
                          <a:prstGeom prst="rect"/>
                        </pic:spPr>
                      </pic:pic>
                    </a:graphicData>
                  </a:graphic>
                </wp:inline>
              </w:drawing>
            </w:r>
          </w:p>
        </w:tc>
      </w:tr>
    </w:tbl>
    <w:p>
      <w:r>
        <w:br w:type="page"/>
      </w:r>
    </w:p>
    <w:p w14:paraId="571B5057">
      <w:pPr>
        <w:pStyle w:val="2"/>
        <w:rPr>
          <w:rFonts w:hint="default" w:ascii="Altone Trial" w:hAnsi="Altone Trial" w:eastAsia="Calibri" w:cs="Altone Trial"/>
          <w:b/>
          <w:bCs/>
          <w:color w:val="7030A0" w:themeColor="accent6"/>
          <w:sz w:val="56"/>
          <w:szCs w:val="56"/>
          <w:lang w:eastAsia="en-IN"/>
          <w14:textFill>
            <w14:solidFill>
              <w14:schemeClr w14:val="accent6"/>
            </w14:solidFill>
          </w14:textFill>
        </w:rPr>
      </w:pPr>
      <w:bookmarkStart w:id="17" w:name="_Toc131542991"/>
      <w:r>
        <w:rPr>
          <w:rFonts w:hint="default" w:ascii="Altone Trial" w:hAnsi="Altone Trial" w:eastAsia="Calibri" w:cs="Altone Trial"/>
          <w:b/>
          <w:bCs/>
          <w:color w:val="7030A0" w:themeColor="accent6"/>
          <w:sz w:val="56"/>
          <w:szCs w:val="56"/>
          <w:lang w:eastAsia="en-IN"/>
          <w14:textFill>
            <w14:solidFill>
              <w14:schemeClr w14:val="accent6"/>
            </w14:solidFill>
          </w14:textFill>
        </w:rPr>
        <w:t>SUMMARY OF FINDINGS &amp; CONCLUSION:</w:t>
      </w:r>
      <w:bookmarkEnd w:id="13"/>
      <w:bookmarkEnd w:id="14"/>
      <w:bookmarkEnd w:id="15"/>
      <w:bookmarkEnd w:id="16"/>
      <w:bookmarkEnd w:id="17"/>
    </w:p>
    <w:p w14:paraId="4DE5F7DD">
      <w:pPr>
        <w:tabs>
          <w:tab w:val="left" w:pos="1320"/>
        </w:tabs>
        <w:jc w:val="both"/>
        <w:rPr>
          <w:rFonts w:hint="default" w:ascii="Altone Trial" w:hAnsi="Altone Trial" w:eastAsia="Calibri" w:cs="Altone Trial"/>
        </w:rPr>
      </w:pPr>
    </w:p>
    <w:p w14:paraId="0A62C676">
      <w:pPr>
        <w:jc w:val="both"/>
        <w:rPr>
          <w:rFonts w:hint="default" w:ascii="Altone Trial" w:hAnsi="Altone Trial" w:eastAsia="Calibri" w:cs="Altone Trial"/>
        </w:rPr>
      </w:pPr>
      <w:r>
        <w:rPr>
          <w:rFonts w:hint="default" w:ascii="Altone Trial" w:hAnsi="Altone Trial" w:eastAsia="Calibri" w:cs="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0A6442EF">
      <w:pPr>
        <w:jc w:val="both"/>
        <w:rPr>
          <w:rFonts w:hint="default" w:ascii="Altone Trial" w:hAnsi="Altone Trial" w:eastAsia="Calibri" w:cs="Altone Trial"/>
        </w:rPr>
      </w:pPr>
    </w:p>
    <w:p w14:paraId="436888CA">
      <w:pPr>
        <w:jc w:val="both"/>
        <w:rPr>
          <w:rFonts w:hint="default" w:ascii="Altone Trial" w:hAnsi="Altone Trial" w:eastAsia="Calibri" w:cs="Altone Trial"/>
        </w:rPr>
      </w:pPr>
      <w:r>
        <w:rPr>
          <w:rFonts w:hint="default" w:ascii="Altone Trial" w:hAnsi="Altone Trial" w:eastAsia="Calibri" w:cs="Altone Trial"/>
        </w:rPr>
        <w:t>The assessment</w:t>
      </w:r>
      <w:r>
        <w:rPr>
          <w:rFonts w:hint="default" w:ascii="Altone Trial" w:hAnsi="Altone Trial" w:eastAsia="Calibri" w:cs="Altone Trial"/>
          <w:b/>
        </w:rPr>
        <w:t xml:space="preserve"> </w:t>
      </w:r>
      <w:r>
        <w:rPr>
          <w:rFonts w:hint="default" w:ascii="Altone Trial" w:hAnsi="Altone Trial" w:eastAsia="Calibri" w:cs="Altone Trial"/>
        </w:rPr>
        <w:t xml:space="preserve">was only possible because </w:t>
      </w:r>
      <w:r>
        <w:rPr>
          <w:rFonts w:hint="default" w:ascii="Altone Trial" w:hAnsi="Altone Trial" w:eastAsia="Calibri" w:cs="Altone Trial"/>
          <w:b/>
        </w:rPr>
        <w:t xml:space="preserve">joint support </w:t>
      </w:r>
      <w:r>
        <w:rPr>
          <w:rFonts w:hint="default" w:ascii="Altone Trial" w:hAnsi="Altone Trial" w:eastAsia="Calibri" w:cs="Altone Trial"/>
        </w:rPr>
        <w:t xml:space="preserve">&amp; </w:t>
      </w:r>
      <w:r>
        <w:rPr>
          <w:rFonts w:hint="default" w:ascii="Altone Trial" w:hAnsi="Altone Trial" w:eastAsia="Calibri" w:cs="Altone Trial"/>
          <w:b/>
        </w:rPr>
        <w:t xml:space="preserve">coordination </w:t>
      </w:r>
      <w:r>
        <w:rPr>
          <w:rFonts w:hint="default" w:ascii="Altone Trial" w:hAnsi="Altone Trial" w:eastAsia="Calibri" w:cs="Altone Trial"/>
        </w:rPr>
        <w:t xml:space="preserve">from the </w:t>
      </w:r>
      <w:r>
        <w:rPr>
          <w:rFonts w:hint="default" w:ascii="Altone Trial" w:hAnsi="Altone Trial" w:eastAsia="Calibri" w:cs="Altone Trial"/>
          <w:b/>
        </w:rPr>
        <w:t xml:space="preserve">information security team of organization </w:t>
      </w:r>
      <w:r>
        <w:rPr>
          <w:rFonts w:hint="default" w:ascii="Altone Trial" w:hAnsi="Altone Trial" w:eastAsia="Calibri" w:cs="Altone Trial"/>
        </w:rPr>
        <w:t xml:space="preserve">for </w:t>
      </w:r>
      <w:r>
        <w:rPr>
          <w:rFonts w:hint="default" w:ascii="Altone Trial" w:hAnsi="Altone Trial" w:eastAsia="Calibri" w:cs="Altone Trial"/>
          <w:b/>
        </w:rPr>
        <w:t xml:space="preserve">sharing &amp; coordinating </w:t>
      </w:r>
      <w:r>
        <w:rPr>
          <w:rFonts w:hint="default" w:ascii="Altone Trial" w:hAnsi="Altone Trial" w:eastAsia="Calibri" w:cs="Altone Trial"/>
        </w:rPr>
        <w:t xml:space="preserve">during the assessment period. It is advised to refer the </w:t>
      </w:r>
      <w:r>
        <w:rPr>
          <w:rFonts w:hint="default" w:ascii="Altone Trial" w:hAnsi="Altone Trial" w:eastAsia="Calibri" w:cs="Altone Trial"/>
          <w:b/>
        </w:rPr>
        <w:t xml:space="preserve">Technical Report </w:t>
      </w:r>
      <w:r>
        <w:rPr>
          <w:rFonts w:hint="default" w:ascii="Altone Trial" w:hAnsi="Altone Trial" w:eastAsia="Calibri" w:cs="Altone Trial"/>
        </w:rPr>
        <w:t xml:space="preserve">for understanding </w:t>
      </w:r>
      <w:r>
        <w:rPr>
          <w:rFonts w:hint="default" w:ascii="Altone Trial" w:hAnsi="Altone Trial" w:eastAsia="Calibri" w:cs="Altone Trial"/>
          <w:b/>
        </w:rPr>
        <w:t xml:space="preserve">in-depth of vulnerabilities </w:t>
      </w:r>
      <w:r>
        <w:rPr>
          <w:rFonts w:hint="default" w:ascii="Altone Trial" w:hAnsi="Altone Trial" w:eastAsia="Calibri" w:cs="Altone Trial"/>
        </w:rPr>
        <w:t xml:space="preserve">that were discovered </w:t>
      </w:r>
      <w:r>
        <w:rPr>
          <w:rFonts w:hint="default" w:ascii="Altone Trial" w:hAnsi="Altone Trial" w:eastAsia="Calibri" w:cs="Altone Trial"/>
          <w:b/>
        </w:rPr>
        <w:t xml:space="preserve">by technical team of CyberSmithSECURE Pvt. Ltd. </w:t>
      </w:r>
    </w:p>
    <w:p w14:paraId="1C548F8B">
      <w:pPr>
        <w:jc w:val="both"/>
        <w:rPr>
          <w:rFonts w:hint="default" w:ascii="Altone Trial" w:hAnsi="Altone Trial" w:eastAsia="Calibri" w:cs="Altone Trial"/>
        </w:rPr>
      </w:pPr>
    </w:p>
    <w:p w14:paraId="73137905">
      <w:pPr>
        <w:jc w:val="both"/>
        <w:rPr>
          <w:rFonts w:hint="default" w:ascii="Altone Trial" w:hAnsi="Altone Trial" w:eastAsia="Calibri" w:cs="Altone Trial"/>
        </w:rPr>
      </w:pPr>
      <w:r>
        <w:rPr>
          <w:rFonts w:hint="default" w:ascii="Altone Trial" w:hAnsi="Altone Trial" w:eastAsia="Calibri" w:cs="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14:paraId="4D16B77E">
      <w:pPr>
        <w:jc w:val="both"/>
        <w:rPr>
          <w:rFonts w:hint="default" w:ascii="Altone Trial" w:hAnsi="Altone Trial" w:eastAsia="Calibri" w:cs="Altone Trial"/>
          <w:color w:val="404040"/>
        </w:rPr>
      </w:pPr>
    </w:p>
    <w:p w14:paraId="7B8A2E38">
      <w:pPr>
        <w:spacing w:line="249" w:lineRule="auto"/>
        <w:jc w:val="both"/>
        <w:rPr>
          <w:rFonts w:hint="default" w:ascii="Altone Trial" w:hAnsi="Altone Trial" w:eastAsia="Calibri" w:cs="Altone Trial"/>
          <w:color w:val="7030A0"/>
        </w:rPr>
      </w:pPr>
      <w:r>
        <w:rPr>
          <w:rFonts w:hint="default" w:ascii="Altone Trial" w:hAnsi="Altone Trial" w:eastAsia="Calibri" w:cs="Altone Trial"/>
          <w:b/>
          <w:color w:val="7030A0"/>
        </w:rPr>
        <w:t>We thank internal Information Security team for their support &amp; cooperation during the time of assessment.</w:t>
      </w:r>
      <w:r>
        <w:rPr>
          <w:rFonts w:hint="default" w:ascii="Altone Trial" w:hAnsi="Altone Trial" w:eastAsia="Calibri" w:cs="Altone Trial"/>
          <w:color w:val="7030A0"/>
        </w:rPr>
        <w:t xml:space="preserve"> </w:t>
      </w:r>
    </w:p>
    <w:p w14:paraId="7F1C0530">
      <w:pPr>
        <w:tabs>
          <w:tab w:val="left" w:pos="1779"/>
        </w:tabs>
        <w:rPr>
          <w:rFonts w:hint="default" w:ascii="Altone Trial" w:hAnsi="Altone Trial" w:cs="Altone Trial"/>
          <w:sz w:val="24"/>
          <w:szCs w:val="24"/>
        </w:rPr>
      </w:pP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