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D2BC9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Legacy Tactics Video 1: Full Voiceover Script (With Disclaimer)</w:t>
      </w:r>
    </w:p>
    <w:p w14:paraId="5D358C3E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Segoe UI Emoji" w:hAnsi="Segoe UI Emoji" w:cs="Segoe UI Emoji"/>
          <w:sz w:val="28"/>
          <w:szCs w:val="28"/>
        </w:rPr>
        <w:t>🔹</w:t>
      </w:r>
      <w:r w:rsidRPr="00980A2E">
        <w:rPr>
          <w:rFonts w:ascii="Times New Roman" w:hAnsi="Times New Roman" w:cs="Times New Roman"/>
          <w:sz w:val="28"/>
          <w:szCs w:val="28"/>
        </w:rPr>
        <w:t xml:space="preserve"> Intro (0:00–0:15)</w:t>
      </w:r>
    </w:p>
    <w:p w14:paraId="6A5218A3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Welcome to Legacy Tactics—where compounding isn’t just math, it’s inheritance.</w:t>
      </w:r>
    </w:p>
    <w:p w14:paraId="6A88178E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Today, we’re unlocking DRIP velocity and moonshot sleeve logic to build generational wealth.</w:t>
      </w:r>
    </w:p>
    <w:p w14:paraId="01FC8379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4F4C671D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411C992E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Segoe UI Emoji" w:hAnsi="Segoe UI Emoji" w:cs="Segoe UI Emoji"/>
          <w:sz w:val="28"/>
          <w:szCs w:val="28"/>
        </w:rPr>
        <w:t>🔹</w:t>
      </w:r>
      <w:r w:rsidRPr="00980A2E">
        <w:rPr>
          <w:rFonts w:ascii="Times New Roman" w:hAnsi="Times New Roman" w:cs="Times New Roman"/>
          <w:sz w:val="28"/>
          <w:szCs w:val="28"/>
        </w:rPr>
        <w:t xml:space="preserve"> Segment 1: DRIP Velocity Tracker (0:15–1:00)</w:t>
      </w:r>
    </w:p>
    <w:p w14:paraId="012D5BCC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 xml:space="preserve">This isn’t passive </w:t>
      </w:r>
      <w:proofErr w:type="gramStart"/>
      <w:r w:rsidRPr="00980A2E">
        <w:rPr>
          <w:rFonts w:ascii="Times New Roman" w:hAnsi="Times New Roman" w:cs="Times New Roman"/>
          <w:sz w:val="28"/>
          <w:szCs w:val="28"/>
        </w:rPr>
        <w:t>income—</w:t>
      </w:r>
      <w:proofErr w:type="gramEnd"/>
      <w:r w:rsidRPr="00980A2E">
        <w:rPr>
          <w:rFonts w:ascii="Times New Roman" w:hAnsi="Times New Roman" w:cs="Times New Roman"/>
          <w:sz w:val="28"/>
          <w:szCs w:val="28"/>
        </w:rPr>
        <w:t>it’s tactical compounding.</w:t>
      </w:r>
    </w:p>
    <w:p w14:paraId="44274BAB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Watch how DRIP velocity accelerates when milestone flags are hit.</w:t>
      </w:r>
    </w:p>
    <w:p w14:paraId="328EBF8E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Yellow arrows show the flow. Red flags mark your legacy triggers.</w:t>
      </w:r>
    </w:p>
    <w:p w14:paraId="29578720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Every reinvested dividend isn’t just a payout—it’s a trust deposit.</w:t>
      </w:r>
    </w:p>
    <w:p w14:paraId="1DE7969E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5889E385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3CEA4107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Segoe UI Emoji" w:hAnsi="Segoe UI Emoji" w:cs="Segoe UI Emoji"/>
          <w:sz w:val="28"/>
          <w:szCs w:val="28"/>
        </w:rPr>
        <w:t>🔹</w:t>
      </w:r>
      <w:r w:rsidRPr="00980A2E">
        <w:rPr>
          <w:rFonts w:ascii="Times New Roman" w:hAnsi="Times New Roman" w:cs="Times New Roman"/>
          <w:sz w:val="28"/>
          <w:szCs w:val="28"/>
        </w:rPr>
        <w:t xml:space="preserve"> Segment 2: Moonshot Sleeve Breakdown (1:00–2:00)</w:t>
      </w:r>
    </w:p>
    <w:p w14:paraId="01CD8FF9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Moonshots aren’t gambles—they’re calculated legacy plays.</w:t>
      </w:r>
    </w:p>
    <w:p w14:paraId="4619028C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I rank them by entry zones, ETF logic, and recession overlays.</w:t>
      </w:r>
    </w:p>
    <w:p w14:paraId="48838C74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Green zones are tactical entries. Red zones are caution flags.</w:t>
      </w:r>
    </w:p>
    <w:p w14:paraId="79B01594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This sleeve isn’t about hype—it’s about disciplined upside.</w:t>
      </w:r>
    </w:p>
    <w:p w14:paraId="7338CDFE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65437398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67B684D4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Segoe UI Emoji" w:hAnsi="Segoe UI Emoji" w:cs="Segoe UI Emoji"/>
          <w:sz w:val="28"/>
          <w:szCs w:val="28"/>
        </w:rPr>
        <w:t>🔹</w:t>
      </w:r>
      <w:r w:rsidRPr="00980A2E">
        <w:rPr>
          <w:rFonts w:ascii="Times New Roman" w:hAnsi="Times New Roman" w:cs="Times New Roman"/>
          <w:sz w:val="28"/>
          <w:szCs w:val="28"/>
        </w:rPr>
        <w:t xml:space="preserve"> Segment 3: Viewer Prompt (2:00–2:15)</w:t>
      </w:r>
    </w:p>
    <w:p w14:paraId="6012A775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Which ETF sleeve are you building?</w:t>
      </w:r>
    </w:p>
    <w:p w14:paraId="46AF29AA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Drop your DRIP velocity below and grab the tactical tracker in the description.</w:t>
      </w:r>
    </w:p>
    <w:p w14:paraId="48DE49C1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lastRenderedPageBreak/>
        <w:t>Let’s build this together—one milestone at a time.</w:t>
      </w:r>
    </w:p>
    <w:p w14:paraId="12C059A4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783BAAF6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241A9D06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Segoe UI Emoji" w:hAnsi="Segoe UI Emoji" w:cs="Segoe UI Emoji"/>
          <w:sz w:val="28"/>
          <w:szCs w:val="28"/>
        </w:rPr>
        <w:t>🔹</w:t>
      </w:r>
      <w:r w:rsidRPr="00980A2E">
        <w:rPr>
          <w:rFonts w:ascii="Times New Roman" w:hAnsi="Times New Roman" w:cs="Times New Roman"/>
          <w:sz w:val="28"/>
          <w:szCs w:val="28"/>
        </w:rPr>
        <w:t xml:space="preserve"> Outro + Disclaimer (2:15–2:45)</w:t>
      </w:r>
    </w:p>
    <w:p w14:paraId="2C06BA2F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This isn’t just a portfolio—it’s a trust engine.</w:t>
      </w:r>
    </w:p>
    <w:p w14:paraId="19217019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Flag it. Track it. Pass it on.</w:t>
      </w:r>
    </w:p>
    <w:p w14:paraId="32D62C73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Legacy isn’t given—it’s architected.</w:t>
      </w:r>
    </w:p>
    <w:p w14:paraId="5D74088C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Disclaimer: This content is for educational and informational purposes only.</w:t>
      </w:r>
    </w:p>
    <w:p w14:paraId="4778DBB8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It does not constitute financial, investment, or legal advice.</w:t>
      </w:r>
    </w:p>
    <w:p w14:paraId="0291FB2A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All strategies, charts, and overlays shared are based on personal research and tactical modeling.</w:t>
      </w:r>
    </w:p>
    <w:p w14:paraId="355D1B27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>Viewers should conduct their own due diligence and consult licensed professionals before making financial decisions.</w:t>
      </w:r>
    </w:p>
    <w:p w14:paraId="4FE7770B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  <w:r w:rsidRPr="00980A2E">
        <w:rPr>
          <w:rFonts w:ascii="Times New Roman" w:hAnsi="Times New Roman" w:cs="Times New Roman"/>
          <w:sz w:val="28"/>
          <w:szCs w:val="28"/>
        </w:rPr>
        <w:t xml:space="preserve">Legacy Tactics is a framework for disciplined </w:t>
      </w:r>
      <w:proofErr w:type="gramStart"/>
      <w:r w:rsidRPr="00980A2E">
        <w:rPr>
          <w:rFonts w:ascii="Times New Roman" w:hAnsi="Times New Roman" w:cs="Times New Roman"/>
          <w:sz w:val="28"/>
          <w:szCs w:val="28"/>
        </w:rPr>
        <w:t>learning—</w:t>
      </w:r>
      <w:proofErr w:type="gramEnd"/>
      <w:r w:rsidRPr="00980A2E">
        <w:rPr>
          <w:rFonts w:ascii="Times New Roman" w:hAnsi="Times New Roman" w:cs="Times New Roman"/>
          <w:sz w:val="28"/>
          <w:szCs w:val="28"/>
        </w:rPr>
        <w:t>not a guarantee of future results.</w:t>
      </w:r>
    </w:p>
    <w:p w14:paraId="7DCEC399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0032C64A" w14:textId="77777777" w:rsidR="00980A2E" w:rsidRPr="00980A2E" w:rsidRDefault="00980A2E" w:rsidP="00980A2E">
      <w:pPr>
        <w:rPr>
          <w:rFonts w:ascii="Times New Roman" w:hAnsi="Times New Roman" w:cs="Times New Roman"/>
          <w:sz w:val="28"/>
          <w:szCs w:val="28"/>
        </w:rPr>
      </w:pPr>
    </w:p>
    <w:p w14:paraId="1F688C8F" w14:textId="230E0FD2" w:rsidR="00980A2E" w:rsidRPr="00980A2E" w:rsidRDefault="00980A2E">
      <w:pPr>
        <w:rPr>
          <w:rFonts w:ascii="Times New Roman" w:hAnsi="Times New Roman" w:cs="Times New Roman"/>
          <w:sz w:val="28"/>
          <w:szCs w:val="28"/>
        </w:rPr>
      </w:pPr>
    </w:p>
    <w:sectPr w:rsidR="00980A2E" w:rsidRPr="0098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2E"/>
    <w:rsid w:val="001A3688"/>
    <w:rsid w:val="0098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B978A"/>
  <w15:chartTrackingRefBased/>
  <w15:docId w15:val="{86CBF69A-0B35-49DB-8393-06E6005A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1414</Characters>
  <Application>Microsoft Office Word</Application>
  <DocSecurity>0</DocSecurity>
  <Lines>28</Lines>
  <Paragraphs>11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2025-08-22T00:41:00Z</dcterms:created>
  <dcterms:modified xsi:type="dcterms:W3CDTF">2025-08-22T00:51:00Z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bfeba842-7539-4d0b-9e4d-0f58763f4bb2</vt:lpwstr>
  </property>
</Properties>
</file>