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70C1C" w14:textId="7777777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 xml:space="preserve">Voiceover Script: DRIP Velocity Tracker (Segmented for </w:t>
      </w:r>
      <w:proofErr w:type="spellStart"/>
      <w:r w:rsidRPr="002E6F3A">
        <w:rPr>
          <w:rFonts w:ascii="Times New Roman" w:hAnsi="Times New Roman" w:cs="Times New Roman"/>
          <w:sz w:val="28"/>
          <w:szCs w:val="28"/>
        </w:rPr>
        <w:t>CapCut</w:t>
      </w:r>
      <w:proofErr w:type="spellEnd"/>
      <w:r w:rsidRPr="002E6F3A">
        <w:rPr>
          <w:rFonts w:ascii="Times New Roman" w:hAnsi="Times New Roman" w:cs="Times New Roman"/>
          <w:sz w:val="28"/>
          <w:szCs w:val="28"/>
        </w:rPr>
        <w:t>)</w:t>
      </w:r>
    </w:p>
    <w:p w14:paraId="0F285CED" w14:textId="7777777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>Intro (0:00–0:10)</w:t>
      </w:r>
    </w:p>
    <w:p w14:paraId="1A819FE8" w14:textId="7777777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>"Welcome to Legacy Tactics—where discipline meets compounding. Today, we’re unlocking the DRIP Velocity Tracker: your tactical dashboard for dividend reinvestment and milestone growth."</w:t>
      </w:r>
    </w:p>
    <w:p w14:paraId="79E03668" w14:textId="7777777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>Segment 1: What Is DRIP Velocity? (0:10–0:30)</w:t>
      </w:r>
    </w:p>
    <w:p w14:paraId="29943DA7" w14:textId="7777777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 xml:space="preserve">"DRIP Velocity measures how fast your reinvested dividends accelerate share accumulation. It’s not just about </w:t>
      </w:r>
      <w:proofErr w:type="gramStart"/>
      <w:r w:rsidRPr="002E6F3A">
        <w:rPr>
          <w:rFonts w:ascii="Times New Roman" w:hAnsi="Times New Roman" w:cs="Times New Roman"/>
          <w:sz w:val="28"/>
          <w:szCs w:val="28"/>
        </w:rPr>
        <w:t>yield—</w:t>
      </w:r>
      <w:proofErr w:type="gramEnd"/>
      <w:r w:rsidRPr="002E6F3A">
        <w:rPr>
          <w:rFonts w:ascii="Times New Roman" w:hAnsi="Times New Roman" w:cs="Times New Roman"/>
          <w:sz w:val="28"/>
          <w:szCs w:val="28"/>
        </w:rPr>
        <w:t>it’s about compounding speed, milestone flags, and tactical overlays."</w:t>
      </w:r>
    </w:p>
    <w:p w14:paraId="370DEB89" w14:textId="7777777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>Segment 2: Tactical Dashboard Breakdown (0:30–1:00)</w:t>
      </w:r>
    </w:p>
    <w:p w14:paraId="2C11C5A1" w14:textId="7777777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>"You’ll see dividend anchors, ETF growth tiers, and compounding visuals. Each sleeve is mapped with milestone flags—$100, $500, $1K—and DRIP velocity indicators to track your tactical progress."</w:t>
      </w:r>
    </w:p>
    <w:p w14:paraId="40D789AE" w14:textId="7777777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>Segment 3: How to Use It (1:00–1:30)</w:t>
      </w:r>
    </w:p>
    <w:p w14:paraId="27C9AA09" w14:textId="7777777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>"Update your share count monthly. Watch your DRIP velocity climb. Use the dashboard to stress-test recession overlays, rate hike resistance, and moonshot triggers."</w:t>
      </w:r>
    </w:p>
    <w:p w14:paraId="7E8CDC3B" w14:textId="7777777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>Outro (1:30–1:45)</w:t>
      </w:r>
    </w:p>
    <w:p w14:paraId="05354761" w14:textId="7CE9AFC7" w:rsidR="002E6F3A" w:rsidRPr="002E6F3A" w:rsidRDefault="002E6F3A" w:rsidP="002E6F3A">
      <w:pPr>
        <w:rPr>
          <w:rFonts w:ascii="Times New Roman" w:hAnsi="Times New Roman" w:cs="Times New Roman"/>
          <w:sz w:val="28"/>
          <w:szCs w:val="28"/>
        </w:rPr>
      </w:pPr>
      <w:r w:rsidRPr="002E6F3A">
        <w:rPr>
          <w:rFonts w:ascii="Times New Roman" w:hAnsi="Times New Roman" w:cs="Times New Roman"/>
          <w:sz w:val="28"/>
          <w:szCs w:val="28"/>
        </w:rPr>
        <w:t>"Download the tracker below. Subscribe for more tactical overlays, legacy symbolism, and compounding wisdom. This is Legacy Tactics—where wealth is built with precision."</w:t>
      </w:r>
    </w:p>
    <w:sectPr w:rsidR="002E6F3A" w:rsidRPr="002E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3A"/>
    <w:rsid w:val="002E6F3A"/>
    <w:rsid w:val="00EA6116"/>
    <w:rsid w:val="00FA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6A0A5"/>
  <w15:chartTrackingRefBased/>
  <w15:docId w15:val="{322F3266-7795-4239-9733-6994BCBC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978</Characters>
  <Application>Microsoft Office Word</Application>
  <DocSecurity>0</DocSecurity>
  <Lines>21</Lines>
  <Paragraphs>12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2</cp:revision>
  <dcterms:created xsi:type="dcterms:W3CDTF">2025-08-21T21:16:00Z</dcterms:created>
  <dcterms:modified xsi:type="dcterms:W3CDTF">2025-08-21T21:16:00Z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babd5ffd-99ba-447d-b22f-d17387ea359e</vt:lpwstr>
  </property>
</Properties>
</file>