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BF1AA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Voiceover Script: DRIP Velocity Tracker Breakdown</w:t>
      </w:r>
    </w:p>
    <w:p w14:paraId="7B93083B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[Intro – 0:00–0:10]</w:t>
      </w:r>
    </w:p>
    <w:p w14:paraId="52AFBAD7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"Welcome to Legacy Tactics — where compounding meets clarity. Today, we’re unlocking the DRIP Velocity Tracker: your tactical tool for dividend reinvestment and milestone mastery."</w:t>
      </w:r>
    </w:p>
    <w:p w14:paraId="3A9FAA3D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[Section 1 – 0:11–0:30]</w:t>
      </w:r>
    </w:p>
    <w:p w14:paraId="1A52C1BA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"This spreadsheet tracks monthly and annual dividend flow across your ETFs. You’ll see velocity flags, milestone thresholds, and compounding overlays — all designed to help you build trust, discipline, and generational wealth."</w:t>
      </w:r>
    </w:p>
    <w:p w14:paraId="73DEAEB2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[Section 2 – 0:31–0:50]</w:t>
      </w:r>
    </w:p>
    <w:p w14:paraId="40E0D05C" w14:textId="40274EF5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Anchor, growth, and moonshot segment each ETF sleeve</w:t>
      </w:r>
      <w:r w:rsidRPr="00D31963">
        <w:rPr>
          <w:rFonts w:ascii="Times New Roman" w:hAnsi="Times New Roman" w:cs="Times New Roman"/>
          <w:sz w:val="28"/>
          <w:szCs w:val="28"/>
        </w:rPr>
        <w:t>. You’ll monitor DRIP velocity, flag milestone triggers, and visualize your compounding engine in real time."</w:t>
      </w:r>
    </w:p>
    <w:p w14:paraId="0BA63044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[Section 3 – 0:51–1:10]</w:t>
      </w:r>
    </w:p>
    <w:p w14:paraId="01966830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"The Trust Overlay section lets you anchor goals to legacy outcomes — whether it’s funding a grandchild’s trust, hitting a $1,000/month passive income milestone, or building a family foundation."</w:t>
      </w:r>
    </w:p>
    <w:p w14:paraId="0227B7DB" w14:textId="77777777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[Outro – 1:11–1:30]</w:t>
      </w:r>
    </w:p>
    <w:p w14:paraId="210255E1" w14:textId="48C50BCD" w:rsidR="00D31963" w:rsidRPr="00D31963" w:rsidRDefault="00D31963" w:rsidP="00D31963">
      <w:pPr>
        <w:rPr>
          <w:rFonts w:ascii="Times New Roman" w:hAnsi="Times New Roman" w:cs="Times New Roman"/>
          <w:sz w:val="28"/>
          <w:szCs w:val="28"/>
        </w:rPr>
      </w:pPr>
      <w:r w:rsidRPr="00D31963">
        <w:rPr>
          <w:rFonts w:ascii="Times New Roman" w:hAnsi="Times New Roman" w:cs="Times New Roman"/>
          <w:sz w:val="28"/>
          <w:szCs w:val="28"/>
        </w:rPr>
        <w:t>"Download the tracker below, drop your DRIP goals in the comments, and subscribe for tactical overlays that build wealth with precision. Legacy isn’t luck — it’s layered, disciplined, and earned."</w:t>
      </w:r>
    </w:p>
    <w:sectPr w:rsidR="00D31963" w:rsidRPr="00D3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63"/>
    <w:rsid w:val="0016087A"/>
    <w:rsid w:val="009F5671"/>
    <w:rsid w:val="00D31963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F9E81"/>
  <w15:chartTrackingRefBased/>
  <w15:docId w15:val="{61227976-18FB-42D5-AA54-42746FF7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964</Characters>
  <Application>Microsoft Office Word</Application>
  <DocSecurity>0</DocSecurity>
  <Lines>21</Lines>
  <Paragraphs>11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dcterms:created xsi:type="dcterms:W3CDTF">2025-08-21T21:53:00Z</dcterms:created>
  <dcterms:modified xsi:type="dcterms:W3CDTF">2025-08-21T21:53:00Z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002bcdfa-167a-4a52-b279-f84ccfb32dbe</vt:lpwstr>
  </property>
</Properties>
</file>