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C6D" w:rsidRPr="00D15C6D" w:rsidRDefault="00D15C6D" w:rsidP="00D15C6D">
      <w:pPr>
        <w:pStyle w:val="Quote"/>
        <w:rPr>
          <w:lang w:eastAsia="sl-SI"/>
        </w:rPr>
      </w:pPr>
      <w:r w:rsidRPr="00D15C6D">
        <w:rPr>
          <w:lang w:eastAsia="sl-SI"/>
        </w:rPr>
        <w:t>Študentsko delo je začasno in občasno delo dijakov in študentov; ena izmed fleksibilnih oblik dela, namenjena specifično za mlade, ki so vključeni v proces izobraževanja in si želijo vključitve na trg dela, tako iz finančnih razlogov, kot zaradi pridobivanja delovnih izkušenj in kompetenc.</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Študentsko delo lahko opravljajo osebe: </w:t>
      </w:r>
    </w:p>
    <w:p w:rsidR="00D15C6D" w:rsidRPr="00D15C6D" w:rsidRDefault="00D15C6D" w:rsidP="00D15C6D">
      <w:pPr>
        <w:numPr>
          <w:ilvl w:val="0"/>
          <w:numId w:val="1"/>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s statusom dijaka</w:t>
      </w:r>
      <w:r w:rsidRPr="00D15C6D">
        <w:rPr>
          <w:rFonts w:ascii="Arial" w:eastAsia="Times New Roman" w:hAnsi="Arial" w:cs="Arial"/>
          <w:color w:val="505050"/>
          <w:sz w:val="20"/>
          <w:szCs w:val="20"/>
          <w:lang w:eastAsia="sl-SI"/>
        </w:rPr>
        <w:t> v Republiki Sloveniji, ki so že dopolnile 15 let, </w:t>
      </w:r>
    </w:p>
    <w:p w:rsidR="00D15C6D" w:rsidRPr="00D15C6D" w:rsidRDefault="00D15C6D" w:rsidP="00D15C6D">
      <w:pPr>
        <w:numPr>
          <w:ilvl w:val="0"/>
          <w:numId w:val="1"/>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s statusom študenta</w:t>
      </w:r>
      <w:r w:rsidRPr="00D15C6D">
        <w:rPr>
          <w:rFonts w:ascii="Arial" w:eastAsia="Times New Roman" w:hAnsi="Arial" w:cs="Arial"/>
          <w:color w:val="505050"/>
          <w:sz w:val="20"/>
          <w:szCs w:val="20"/>
          <w:lang w:eastAsia="sl-SI"/>
        </w:rPr>
        <w:t> v Republiki Sloveniji, </w:t>
      </w:r>
    </w:p>
    <w:p w:rsidR="00D15C6D" w:rsidRPr="00D15C6D" w:rsidRDefault="00D15C6D" w:rsidP="00D15C6D">
      <w:pPr>
        <w:numPr>
          <w:ilvl w:val="0"/>
          <w:numId w:val="1"/>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s statusom udeležencev izobraževanja odraslih</w:t>
      </w:r>
      <w:r w:rsidRPr="00D15C6D">
        <w:rPr>
          <w:rFonts w:ascii="Arial" w:eastAsia="Times New Roman" w:hAnsi="Arial" w:cs="Arial"/>
          <w:color w:val="505050"/>
          <w:sz w:val="20"/>
          <w:szCs w:val="20"/>
          <w:lang w:eastAsia="sl-SI"/>
        </w:rPr>
        <w:t>, ki so mlajše od 26 let in se izobražujejo po javno veljavnih programih osnovnega, poklicnega, srednjega in višjega strokovnega izobraževanja, </w:t>
      </w:r>
    </w:p>
    <w:p w:rsidR="00D15C6D" w:rsidRPr="00D15C6D" w:rsidRDefault="00D15C6D" w:rsidP="00D15C6D">
      <w:pPr>
        <w:numPr>
          <w:ilvl w:val="0"/>
          <w:numId w:val="1"/>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dijaki in študenti, državljani Republike Slovenije, ki imajo </w:t>
      </w:r>
      <w:r w:rsidRPr="00D15C6D">
        <w:rPr>
          <w:rFonts w:ascii="Arial" w:eastAsia="Times New Roman" w:hAnsi="Arial" w:cs="Arial"/>
          <w:b/>
          <w:bCs/>
          <w:color w:val="505050"/>
          <w:sz w:val="20"/>
          <w:szCs w:val="20"/>
          <w:lang w:eastAsia="sl-SI"/>
        </w:rPr>
        <w:t>status dijaka ali študenta v tujini</w:t>
      </w:r>
      <w:r w:rsidRPr="00D15C6D">
        <w:rPr>
          <w:rFonts w:ascii="Arial" w:eastAsia="Times New Roman" w:hAnsi="Arial" w:cs="Arial"/>
          <w:color w:val="505050"/>
          <w:sz w:val="20"/>
          <w:szCs w:val="20"/>
          <w:lang w:eastAsia="sl-SI"/>
        </w:rPr>
        <w:t> (kar se dokazuje s potrdilom o vpisu, izdanem po predpisih v državi tuje šole), </w:t>
      </w:r>
    </w:p>
    <w:p w:rsidR="00D15C6D" w:rsidRPr="00D15C6D" w:rsidRDefault="00D15C6D" w:rsidP="00D15C6D">
      <w:pPr>
        <w:numPr>
          <w:ilvl w:val="0"/>
          <w:numId w:val="1"/>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osebe, ki so zaključile srednjo šolo v tekočem šolskem letu in bodo (na podlagi vpisa na visokošolski zavod) pridobile status študenta ob začetku novega šolskega leta, </w:t>
      </w:r>
    </w:p>
    <w:p w:rsidR="00D15C6D" w:rsidRPr="00D15C6D" w:rsidRDefault="00D15C6D" w:rsidP="00D15C6D">
      <w:pPr>
        <w:numPr>
          <w:ilvl w:val="0"/>
          <w:numId w:val="1"/>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študentje tujih univerz</w:t>
      </w:r>
      <w:r w:rsidRPr="00D15C6D">
        <w:rPr>
          <w:rFonts w:ascii="Arial" w:eastAsia="Times New Roman" w:hAnsi="Arial" w:cs="Arial"/>
          <w:color w:val="505050"/>
          <w:sz w:val="20"/>
          <w:szCs w:val="20"/>
          <w:lang w:eastAsia="sl-SI"/>
        </w:rPr>
        <w:t>, ki v okviru mednarodnih izmenjalnih programov opravljajo študijske obveznosti v Republiki Sloveniji.</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Delajo lahko </w:t>
      </w:r>
      <w:r w:rsidRPr="00D15C6D">
        <w:rPr>
          <w:rFonts w:ascii="Arial" w:eastAsia="Times New Roman" w:hAnsi="Arial" w:cs="Arial"/>
          <w:b/>
          <w:bCs/>
          <w:color w:val="505050"/>
          <w:sz w:val="20"/>
          <w:szCs w:val="20"/>
          <w:lang w:eastAsia="sl-SI"/>
        </w:rPr>
        <w:t>tudi osnovnošolci</w:t>
      </w:r>
      <w:r w:rsidRPr="00D15C6D">
        <w:rPr>
          <w:rFonts w:ascii="Arial" w:eastAsia="Times New Roman" w:hAnsi="Arial" w:cs="Arial"/>
          <w:color w:val="505050"/>
          <w:sz w:val="20"/>
          <w:szCs w:val="20"/>
          <w:lang w:eastAsia="sl-SI"/>
        </w:rPr>
        <w:t>, ki so zaključili osnovno šolo in so dopolnili 15 let ter bodo status dijaka pridobili s septembrom (na podlagi spričevala o zaključeni osnovni šoli IN potrdila o vpisu za naslednje šolsko leto).</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S 1. 1. 2007 se je ukinila možnost opravljanja začasnih in občasnih del preko študentskega servisa za </w:t>
      </w:r>
      <w:r w:rsidRPr="00D15C6D">
        <w:rPr>
          <w:rFonts w:ascii="Arial" w:eastAsia="Times New Roman" w:hAnsi="Arial" w:cs="Arial"/>
          <w:b/>
          <w:bCs/>
          <w:color w:val="505050"/>
          <w:sz w:val="20"/>
          <w:szCs w:val="20"/>
          <w:lang w:eastAsia="sl-SI"/>
        </w:rPr>
        <w:t>pavzerje</w:t>
      </w:r>
      <w:r w:rsidRPr="00D15C6D">
        <w:rPr>
          <w:rFonts w:ascii="Arial" w:eastAsia="Times New Roman" w:hAnsi="Arial" w:cs="Arial"/>
          <w:color w:val="505050"/>
          <w:sz w:val="20"/>
          <w:szCs w:val="20"/>
          <w:lang w:eastAsia="sl-SI"/>
        </w:rPr>
        <w:t>.</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Preko študentskega servisa lahko posamezniki delajo, dokler imajo </w:t>
      </w:r>
      <w:r w:rsidRPr="00D15C6D">
        <w:rPr>
          <w:rFonts w:ascii="Arial" w:eastAsia="Times New Roman" w:hAnsi="Arial" w:cs="Arial"/>
          <w:b/>
          <w:bCs/>
          <w:color w:val="505050"/>
          <w:sz w:val="20"/>
          <w:szCs w:val="20"/>
          <w:lang w:eastAsia="sl-SI"/>
        </w:rPr>
        <w:t>status dijaka ali študenta</w:t>
      </w:r>
      <w:r w:rsidRPr="00D15C6D">
        <w:rPr>
          <w:rFonts w:ascii="Arial" w:eastAsia="Times New Roman" w:hAnsi="Arial" w:cs="Arial"/>
          <w:color w:val="505050"/>
          <w:sz w:val="20"/>
          <w:szCs w:val="20"/>
          <w:lang w:eastAsia="sl-SI"/>
        </w:rPr>
        <w:t>, torej dokler </w:t>
      </w:r>
      <w:r w:rsidRPr="00D15C6D">
        <w:rPr>
          <w:rFonts w:ascii="Arial" w:eastAsia="Times New Roman" w:hAnsi="Arial" w:cs="Arial"/>
          <w:b/>
          <w:bCs/>
          <w:color w:val="505050"/>
          <w:sz w:val="20"/>
          <w:szCs w:val="20"/>
          <w:lang w:eastAsia="sl-SI"/>
        </w:rPr>
        <w:t>ne diplomirajo</w:t>
      </w:r>
      <w:r w:rsidRPr="00D15C6D">
        <w:rPr>
          <w:rFonts w:ascii="Arial" w:eastAsia="Times New Roman" w:hAnsi="Arial" w:cs="Arial"/>
          <w:color w:val="505050"/>
          <w:sz w:val="20"/>
          <w:szCs w:val="20"/>
          <w:lang w:eastAsia="sl-SI"/>
        </w:rPr>
        <w:t> ali se </w:t>
      </w:r>
      <w:r w:rsidRPr="00D15C6D">
        <w:rPr>
          <w:rFonts w:ascii="Arial" w:eastAsia="Times New Roman" w:hAnsi="Arial" w:cs="Arial"/>
          <w:b/>
          <w:bCs/>
          <w:color w:val="505050"/>
          <w:sz w:val="20"/>
          <w:szCs w:val="20"/>
          <w:lang w:eastAsia="sl-SI"/>
        </w:rPr>
        <w:t>redno zaposlijo</w:t>
      </w:r>
      <w:r w:rsidRPr="00D15C6D">
        <w:rPr>
          <w:rFonts w:ascii="Arial" w:eastAsia="Times New Roman" w:hAnsi="Arial" w:cs="Arial"/>
          <w:color w:val="505050"/>
          <w:sz w:val="20"/>
          <w:szCs w:val="20"/>
          <w:lang w:eastAsia="sl-SI"/>
        </w:rPr>
        <w:t>.</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Zaslužek preko študentskega servisa ni omejen</w:t>
      </w:r>
      <w:r w:rsidRPr="00D15C6D">
        <w:rPr>
          <w:rFonts w:ascii="Arial" w:eastAsia="Times New Roman" w:hAnsi="Arial" w:cs="Arial"/>
          <w:color w:val="505050"/>
          <w:sz w:val="20"/>
          <w:szCs w:val="20"/>
          <w:lang w:eastAsia="sl-SI"/>
        </w:rPr>
        <w:t>, saj je bil z noveliranjem Zakona o dohodnini ukinjen zgornji cenzus (je pa res, da pri višjem zaslužku plačaš višjo dohodnino).</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Za </w:t>
      </w:r>
      <w:r w:rsidRPr="00D15C6D">
        <w:rPr>
          <w:rFonts w:ascii="Arial" w:eastAsia="Times New Roman" w:hAnsi="Arial" w:cs="Arial"/>
          <w:b/>
          <w:bCs/>
          <w:color w:val="505050"/>
          <w:sz w:val="20"/>
          <w:szCs w:val="20"/>
          <w:lang w:eastAsia="sl-SI"/>
        </w:rPr>
        <w:t>včlanitev</w:t>
      </w:r>
      <w:r w:rsidRPr="00D15C6D">
        <w:rPr>
          <w:rFonts w:ascii="Arial" w:eastAsia="Times New Roman" w:hAnsi="Arial" w:cs="Arial"/>
          <w:color w:val="505050"/>
          <w:sz w:val="20"/>
          <w:szCs w:val="20"/>
          <w:lang w:eastAsia="sl-SI"/>
        </w:rPr>
        <w:t> v študentski servis oz. agencijo za posredovanje dela dijak oz. študent potrebuje:</w:t>
      </w:r>
    </w:p>
    <w:p w:rsidR="00D15C6D" w:rsidRPr="00D15C6D" w:rsidRDefault="00D15C6D" w:rsidP="00D15C6D">
      <w:pPr>
        <w:numPr>
          <w:ilvl w:val="0"/>
          <w:numId w:val="2"/>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osebni dokument,</w:t>
      </w:r>
    </w:p>
    <w:p w:rsidR="00D15C6D" w:rsidRPr="00D15C6D" w:rsidRDefault="00D15C6D" w:rsidP="00D15C6D">
      <w:pPr>
        <w:numPr>
          <w:ilvl w:val="0"/>
          <w:numId w:val="2"/>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številko osebnega računa,</w:t>
      </w:r>
    </w:p>
    <w:p w:rsidR="00D15C6D" w:rsidRPr="00D15C6D" w:rsidRDefault="00D15C6D" w:rsidP="00D15C6D">
      <w:pPr>
        <w:numPr>
          <w:ilvl w:val="0"/>
          <w:numId w:val="2"/>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davčno številko in</w:t>
      </w:r>
    </w:p>
    <w:p w:rsidR="00D15C6D" w:rsidRPr="00D15C6D" w:rsidRDefault="00D15C6D" w:rsidP="00D15C6D">
      <w:pPr>
        <w:numPr>
          <w:ilvl w:val="0"/>
          <w:numId w:val="2"/>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dokazilo o statusu (potrdilo o vpisu za tekoče šolsko/študijsko leto ali študentsko izkaznico ali indeks ali dijaško izkaznico). </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Na spletni strani Ministrstva za delo, družino in socialne zadeve je dostopen </w:t>
      </w:r>
      <w:hyperlink r:id="rId7" w:history="1">
        <w:r w:rsidRPr="00D15C6D">
          <w:rPr>
            <w:rFonts w:ascii="Arial" w:eastAsia="Times New Roman" w:hAnsi="Arial" w:cs="Arial"/>
            <w:b/>
            <w:bCs/>
            <w:color w:val="444444"/>
            <w:sz w:val="20"/>
            <w:szCs w:val="20"/>
            <w:bdr w:val="none" w:sz="0" w:space="0" w:color="auto" w:frame="1"/>
            <w:lang w:eastAsia="sl-SI"/>
          </w:rPr>
          <w:t>seznam vseh študentskih servisov</w:t>
        </w:r>
      </w:hyperlink>
      <w:r w:rsidRPr="00D15C6D">
        <w:rPr>
          <w:rFonts w:ascii="Arial" w:eastAsia="Times New Roman" w:hAnsi="Arial" w:cs="Arial"/>
          <w:color w:val="505050"/>
          <w:sz w:val="20"/>
          <w:szCs w:val="20"/>
          <w:lang w:eastAsia="sl-SI"/>
        </w:rPr>
        <w:t>, ki imajo koncesijo za posredovanje občasnega in začasnega dela dijakov in študentov:</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Zaradi previdnosti pri sprejemu določenega dela dijake in študente opozarjamo tudi na </w:t>
      </w:r>
      <w:r w:rsidRPr="00D15C6D">
        <w:rPr>
          <w:rFonts w:ascii="Arial" w:eastAsia="Times New Roman" w:hAnsi="Arial" w:cs="Arial"/>
          <w:b/>
          <w:bCs/>
          <w:color w:val="505050"/>
          <w:sz w:val="20"/>
          <w:szCs w:val="20"/>
          <w:lang w:eastAsia="sl-SI"/>
        </w:rPr>
        <w:t>neplačnike</w:t>
      </w:r>
      <w:r w:rsidRPr="00D15C6D">
        <w:rPr>
          <w:rFonts w:ascii="Arial" w:eastAsia="Times New Roman" w:hAnsi="Arial" w:cs="Arial"/>
          <w:color w:val="505050"/>
          <w:sz w:val="20"/>
          <w:szCs w:val="20"/>
          <w:lang w:eastAsia="sl-SI"/>
        </w:rPr>
        <w:t>, ki jih nekateri študentski servisi objavljajo na spletni strani:</w:t>
      </w:r>
      <w:hyperlink r:id="rId8" w:history="1">
        <w:r w:rsidRPr="00D15C6D">
          <w:rPr>
            <w:rFonts w:ascii="Arial" w:eastAsia="Times New Roman" w:hAnsi="Arial" w:cs="Arial"/>
            <w:b/>
            <w:bCs/>
            <w:color w:val="444444"/>
            <w:sz w:val="20"/>
            <w:szCs w:val="20"/>
            <w:bdr w:val="none" w:sz="0" w:space="0" w:color="auto" w:frame="1"/>
            <w:lang w:eastAsia="sl-SI"/>
          </w:rPr>
          <w:t> </w:t>
        </w:r>
        <w:r w:rsidRPr="00D15C6D">
          <w:rPr>
            <w:rFonts w:ascii="Arial" w:eastAsia="Times New Roman" w:hAnsi="Arial" w:cs="Arial"/>
            <w:b/>
            <w:bCs/>
            <w:color w:val="444444"/>
            <w:sz w:val="20"/>
            <w:szCs w:val="20"/>
            <w:u w:val="single"/>
            <w:bdr w:val="none" w:sz="0" w:space="0" w:color="auto" w:frame="1"/>
            <w:lang w:eastAsia="sl-SI"/>
          </w:rPr>
          <w:t>http://www.neplacniki.info/</w:t>
        </w:r>
      </w:hyperlink>
      <w:r w:rsidRPr="00D15C6D">
        <w:rPr>
          <w:rFonts w:ascii="Arial" w:eastAsia="Times New Roman" w:hAnsi="Arial" w:cs="Arial"/>
          <w:color w:val="505050"/>
          <w:sz w:val="20"/>
          <w:szCs w:val="20"/>
          <w:lang w:eastAsia="sl-SI"/>
        </w:rPr>
        <w:t>.</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 </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Napotnica</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Napotnica je pravna podlaga za delo dijaka ali študenta v podjetju, zato jo je nujno potrebno dvigniti/naročiti pred pričetkom dela. Delo brez napotnice je delo na črno, denarne kazni za take prekrške pa so za podjetje in za študenta visoke.</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Napotnico lahko dijaki in študenti na študentskih servisih dvignejo osebno </w:t>
      </w:r>
      <w:hyperlink r:id="rId9" w:history="1">
        <w:r w:rsidRPr="00D15C6D">
          <w:rPr>
            <w:rFonts w:ascii="Arial" w:eastAsia="Times New Roman" w:hAnsi="Arial" w:cs="Arial"/>
            <w:b/>
            <w:bCs/>
            <w:color w:val="444444"/>
            <w:sz w:val="20"/>
            <w:szCs w:val="20"/>
            <w:u w:val="single"/>
            <w:bdr w:val="none" w:sz="0" w:space="0" w:color="auto" w:frame="1"/>
            <w:lang w:eastAsia="sl-SI"/>
          </w:rPr>
          <w:t>oz.</w:t>
        </w:r>
        <w:r w:rsidRPr="00D15C6D">
          <w:rPr>
            <w:rFonts w:ascii="Arial" w:eastAsia="Times New Roman" w:hAnsi="Arial" w:cs="Arial"/>
            <w:b/>
            <w:bCs/>
            <w:color w:val="444444"/>
            <w:sz w:val="20"/>
            <w:szCs w:val="20"/>
            <w:bdr w:val="none" w:sz="0" w:space="0" w:color="auto" w:frame="1"/>
            <w:lang w:eastAsia="sl-SI"/>
          </w:rPr>
          <w:t> </w:t>
        </w:r>
      </w:hyperlink>
      <w:r w:rsidRPr="00D15C6D">
        <w:rPr>
          <w:rFonts w:ascii="Arial" w:eastAsia="Times New Roman" w:hAnsi="Arial" w:cs="Arial"/>
          <w:color w:val="505050"/>
          <w:sz w:val="20"/>
          <w:szCs w:val="20"/>
          <w:lang w:eastAsia="sl-SI"/>
        </w:rPr>
        <w:t>naročijo preko telefona ali e-maila .</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Stalna napotnica</w:t>
      </w:r>
      <w:r w:rsidRPr="00D15C6D">
        <w:rPr>
          <w:rFonts w:ascii="Arial" w:eastAsia="Times New Roman" w:hAnsi="Arial" w:cs="Arial"/>
          <w:color w:val="505050"/>
          <w:sz w:val="20"/>
          <w:szCs w:val="20"/>
          <w:lang w:eastAsia="sl-SI"/>
        </w:rPr>
        <w:t> velja daljše obdobje in sicer od dneva izdaje napotnice dalje in največ eno leto. Namenjena je študentom, ki delajo dlje časa, lahko tudi s prekinitvami. </w:t>
      </w:r>
      <w:r w:rsidRPr="00D15C6D">
        <w:rPr>
          <w:rFonts w:ascii="Arial" w:eastAsia="Times New Roman" w:hAnsi="Arial" w:cs="Arial"/>
          <w:b/>
          <w:bCs/>
          <w:color w:val="505050"/>
          <w:sz w:val="20"/>
          <w:szCs w:val="20"/>
          <w:lang w:eastAsia="sl-SI"/>
        </w:rPr>
        <w:t>Navadna napotnica</w:t>
      </w:r>
      <w:r w:rsidRPr="00D15C6D">
        <w:rPr>
          <w:rFonts w:ascii="Arial" w:eastAsia="Times New Roman" w:hAnsi="Arial" w:cs="Arial"/>
          <w:color w:val="505050"/>
          <w:sz w:val="20"/>
          <w:szCs w:val="20"/>
          <w:lang w:eastAsia="sl-SI"/>
        </w:rPr>
        <w:t> je namenjena obračunu dela za krajše obdobje.</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lastRenderedPageBreak/>
        <w:t>Delo preko študentskega servisa ni delo na podlagi pogodbe o zaposlitvi, zato tovrstne pogodbe dijaki in študenti niso dolžni podpisati. Je pa priporočljivo, da se dijaki in študenti že pred začetkom dela z delodajalcem natančno </w:t>
      </w:r>
      <w:r w:rsidRPr="00D15C6D">
        <w:rPr>
          <w:rFonts w:ascii="Arial" w:eastAsia="Times New Roman" w:hAnsi="Arial" w:cs="Arial"/>
          <w:b/>
          <w:bCs/>
          <w:color w:val="505050"/>
          <w:sz w:val="20"/>
          <w:szCs w:val="20"/>
          <w:lang w:eastAsia="sl-SI"/>
        </w:rPr>
        <w:t>dogovorijo o vseh pogojih dela:</w:t>
      </w:r>
      <w:r w:rsidRPr="00D15C6D">
        <w:rPr>
          <w:rFonts w:ascii="Arial" w:eastAsia="Times New Roman" w:hAnsi="Arial" w:cs="Arial"/>
          <w:color w:val="505050"/>
          <w:sz w:val="20"/>
          <w:szCs w:val="20"/>
          <w:lang w:eastAsia="sl-SI"/>
        </w:rPr>
        <w:t> urni postavki, trajanju dela, zahtevah, dodatnih pogojih, internih pravilih v podjetju, rokih plačila, itd.</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Pomembno je tudi, da delodajalec še pred začetkom dela </w:t>
      </w:r>
      <w:r w:rsidRPr="00D15C6D">
        <w:rPr>
          <w:rFonts w:ascii="Arial" w:eastAsia="Times New Roman" w:hAnsi="Arial" w:cs="Arial"/>
          <w:b/>
          <w:bCs/>
          <w:color w:val="505050"/>
          <w:sz w:val="20"/>
          <w:szCs w:val="20"/>
          <w:lang w:eastAsia="sl-SI"/>
        </w:rPr>
        <w:t>podpiše in ožigosa en izvod napotnice.</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Dijaki in študenti so pri delu preko napotnice zavarovani za smrt, invalidnost in poškodbe pri delu. Delodajalci, kjer dijaki in študenti opravljajo delo, so namreč ob koncesijski dajatvi dolžni plačevati prispevek za </w:t>
      </w:r>
      <w:r w:rsidRPr="00D15C6D">
        <w:rPr>
          <w:rFonts w:ascii="Arial" w:eastAsia="Times New Roman" w:hAnsi="Arial" w:cs="Arial"/>
          <w:b/>
          <w:bCs/>
          <w:color w:val="505050"/>
          <w:sz w:val="20"/>
          <w:szCs w:val="20"/>
          <w:lang w:eastAsia="sl-SI"/>
        </w:rPr>
        <w:t>zavarovanje za primer poškodbe pri delu in poklicne bolezni</w:t>
      </w:r>
      <w:r w:rsidRPr="00D15C6D">
        <w:rPr>
          <w:rFonts w:ascii="Arial" w:eastAsia="Times New Roman" w:hAnsi="Arial" w:cs="Arial"/>
          <w:color w:val="505050"/>
          <w:sz w:val="20"/>
          <w:szCs w:val="20"/>
          <w:lang w:eastAsia="sl-SI"/>
        </w:rPr>
        <w:t>. Trenutni znesek prispevka znaša 4,58 evra na realizirano napotnico (na prvo napotnico v mesecu). Študentski servis plača tudi </w:t>
      </w:r>
      <w:r w:rsidRPr="00D15C6D">
        <w:rPr>
          <w:rFonts w:ascii="Arial" w:eastAsia="Times New Roman" w:hAnsi="Arial" w:cs="Arial"/>
          <w:b/>
          <w:bCs/>
          <w:color w:val="505050"/>
          <w:sz w:val="20"/>
          <w:szCs w:val="20"/>
          <w:lang w:eastAsia="sl-SI"/>
        </w:rPr>
        <w:t>prispevek za posebne primere zavarovanja</w:t>
      </w:r>
      <w:r w:rsidRPr="00D15C6D">
        <w:rPr>
          <w:rFonts w:ascii="Arial" w:eastAsia="Times New Roman" w:hAnsi="Arial" w:cs="Arial"/>
          <w:color w:val="505050"/>
          <w:sz w:val="20"/>
          <w:szCs w:val="20"/>
          <w:lang w:eastAsia="sl-SI"/>
        </w:rPr>
        <w:t> (za primer smrti in invalidnosti kot posledice poškodbe pri delu ali poklicne bolezni). Prispevek trenutno znaša 9,64 evra/leto in se obračuna pri prvi realizirani napotnici v tekočem koledarskem letu.</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 </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Dohodnina </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Dohodnina je davek od dohodkov fizičnih oseb. Upoštevani so vsi obdavčljivi dohodki v koledarskem letu.</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Z dohodnino so obdavčeni dohodki fizične osebe, ki so bili pridobljeni oziroma doseženi v davčnem letu, ki je enako koledarskemu letu. Za dohodek se šteje vsako </w:t>
      </w:r>
      <w:r w:rsidRPr="00D15C6D">
        <w:rPr>
          <w:rFonts w:ascii="Arial" w:eastAsia="Times New Roman" w:hAnsi="Arial" w:cs="Arial"/>
          <w:b/>
          <w:bCs/>
          <w:color w:val="505050"/>
          <w:sz w:val="20"/>
          <w:szCs w:val="20"/>
          <w:lang w:eastAsia="sl-SI"/>
        </w:rPr>
        <w:t>izplačilo oziroma prejem dohodka</w:t>
      </w:r>
      <w:r w:rsidRPr="00D15C6D">
        <w:rPr>
          <w:rFonts w:ascii="Arial" w:eastAsia="Times New Roman" w:hAnsi="Arial" w:cs="Arial"/>
          <w:color w:val="505050"/>
          <w:sz w:val="20"/>
          <w:szCs w:val="20"/>
          <w:lang w:eastAsia="sl-SI"/>
        </w:rPr>
        <w:t>, ne glede na obliko, v kateri je izplačan oziroma prejet. Šteje se, da je dohodek prejet, ko je izplačan fizični osebi ali je kako drugače dan na razpolago fizični osebi, kar pomeni, da je za dohodnino pomemben trenutek, ko se denar dejansko nakaže določenemu zavezancu (in ne trenutek ko bi se to npr. po neki pogodbi, moralo storiti).</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V </w:t>
      </w:r>
      <w:r w:rsidRPr="00D15C6D">
        <w:rPr>
          <w:rFonts w:ascii="Arial" w:eastAsia="Times New Roman" w:hAnsi="Arial" w:cs="Arial"/>
          <w:b/>
          <w:bCs/>
          <w:color w:val="505050"/>
          <w:sz w:val="20"/>
          <w:szCs w:val="20"/>
          <w:lang w:eastAsia="sl-SI"/>
        </w:rPr>
        <w:t>obdavčljive dohodke</w:t>
      </w:r>
      <w:r w:rsidRPr="00D15C6D">
        <w:rPr>
          <w:rFonts w:ascii="Arial" w:eastAsia="Times New Roman" w:hAnsi="Arial" w:cs="Arial"/>
          <w:color w:val="505050"/>
          <w:sz w:val="20"/>
          <w:szCs w:val="20"/>
          <w:lang w:eastAsia="sl-SI"/>
        </w:rPr>
        <w:t> štejejo vsi dohodki, ki z zakonom izrecno niso oproščeni oz. izvzeti. Za študenta ali dijaka so obdavčljivi dohodki sledeči: dohodek za opravljeno začasno in občasno delo preko napotnic (študentsko delo), dohodki iz  premoženjskih pravic, dohodki od zaposlitve (npr. avtorski honorar), dobiček iz kapitala, katastrski  dohodek, dohodki iz premoženja (dividende, obresti, najemnine), pokojnina po starših, različne nagrade.  Posebna osebna olajšava velja le za dohodke od študentskega servisa, ne pa tudi za ostale dohodke (avtorski honorar, katastrski dohodek, dohodek iz premoženja, pokojnina po starših, različne nagrade).</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Štipendije</w:t>
      </w:r>
      <w:r w:rsidRPr="00D15C6D">
        <w:rPr>
          <w:rFonts w:ascii="Arial" w:eastAsia="Times New Roman" w:hAnsi="Arial" w:cs="Arial"/>
          <w:color w:val="505050"/>
          <w:sz w:val="20"/>
          <w:szCs w:val="20"/>
          <w:lang w:eastAsia="sl-SI"/>
        </w:rPr>
        <w:t> in drugi prejemki učencev dijakov in študentov iz proračuna ali sklada, ki je financiran iz proračuna (razen kadrovskih štipendij v višini nad minimalno plačo v RS) in prejemki v obliki regresiranja oziroma subvencioniranja študentske prehrane in mesečnih vozovnic, </w:t>
      </w:r>
      <w:r w:rsidRPr="00D15C6D">
        <w:rPr>
          <w:rFonts w:ascii="Arial" w:eastAsia="Times New Roman" w:hAnsi="Arial" w:cs="Arial"/>
          <w:b/>
          <w:bCs/>
          <w:color w:val="505050"/>
          <w:sz w:val="20"/>
          <w:szCs w:val="20"/>
          <w:lang w:eastAsia="sl-SI"/>
        </w:rPr>
        <w:t>niso obdavčljivi</w:t>
      </w:r>
      <w:r w:rsidRPr="00D15C6D">
        <w:rPr>
          <w:rFonts w:ascii="Arial" w:eastAsia="Times New Roman" w:hAnsi="Arial" w:cs="Arial"/>
          <w:color w:val="505050"/>
          <w:sz w:val="20"/>
          <w:szCs w:val="20"/>
          <w:lang w:eastAsia="sl-SI"/>
        </w:rPr>
        <w:t>.</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Dohodnina od študentskega dela se plačuje na naslednji način:</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Od celotnega dohodka, prejetega v preteklem koledarskem letu se odštejejo normirani stroški, ki znašajo 10 % in jih ni potrebno dodatno dokazovati. Nato se odštejejo olajšave. Za študenta so pomembne tri vrste olajšav; splošna, dodatna splošna in posebna osebna olajšava. Tako dobimo neto davčno osnovo, ki je osnova za dokončno obdavčitev. Če je osnova nižja od določenega zneska (npr. 8.021,34 evrov), se dohodek obdavči po 16% dohodninski lestvici.</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i/>
          <w:iCs/>
          <w:color w:val="505050"/>
          <w:sz w:val="20"/>
          <w:szCs w:val="20"/>
          <w:lang w:eastAsia="sl-SI"/>
        </w:rPr>
        <w:t>Sicer lahko študent uveljavlja tudi dejanske stroške za stroške prevoza ali nočitve, nastale zaradi opravljanja dela. Za te stroške je potrebno DURS predložiti dodatne dokaze, uveljavlja pa se jih lahko samo do določene višine. Za več informacij se je najbolje obrniti na DURS.</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 </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Olajšave</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Splošna olajšava </w:t>
      </w:r>
      <w:r w:rsidRPr="00D15C6D">
        <w:rPr>
          <w:rFonts w:ascii="Arial" w:eastAsia="Times New Roman" w:hAnsi="Arial" w:cs="Arial"/>
          <w:color w:val="505050"/>
          <w:sz w:val="20"/>
          <w:szCs w:val="20"/>
          <w:lang w:eastAsia="sl-SI"/>
        </w:rPr>
        <w:t xml:space="preserve">se prizna vsakemu zavezancu pod pogojem, da drug rezident zanj ne uveljavlja posebne olajšave za vzdrževanega družinskega člana (konkretno za študente to pomeni, da lahko to olajšavo uveljavljajo, če jih starši ne uveljavljajo v svoji davčni napovedi kot vzdrževane družinske člane). V primeru, da starš dijaka ali študenta prijavi kot vzdrževanega družinskega člana, član izgubi to </w:t>
      </w:r>
      <w:r w:rsidRPr="00D15C6D">
        <w:rPr>
          <w:rFonts w:ascii="Arial" w:eastAsia="Times New Roman" w:hAnsi="Arial" w:cs="Arial"/>
          <w:color w:val="505050"/>
          <w:sz w:val="20"/>
          <w:szCs w:val="20"/>
          <w:lang w:eastAsia="sl-SI"/>
        </w:rPr>
        <w:lastRenderedPageBreak/>
        <w:t>olajšavo, zato je potrebno vedno narediti lastni izračun in ugotoviti, kaj je (na ravni gospodinjstva) bolj ugodno. Rok za oddajo vloge za uveljavljanje olajšave za vzdrževane družinske člane je 31.1.2014.</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Za </w:t>
      </w:r>
      <w:r w:rsidRPr="00D15C6D">
        <w:rPr>
          <w:rFonts w:ascii="Arial" w:eastAsia="Times New Roman" w:hAnsi="Arial" w:cs="Arial"/>
          <w:b/>
          <w:bCs/>
          <w:color w:val="505050"/>
          <w:sz w:val="20"/>
          <w:szCs w:val="20"/>
          <w:lang w:eastAsia="sl-SI"/>
        </w:rPr>
        <w:t>vzdrževanega družinskega člana</w:t>
      </w:r>
      <w:r w:rsidRPr="00D15C6D">
        <w:rPr>
          <w:rFonts w:ascii="Arial" w:eastAsia="Times New Roman" w:hAnsi="Arial" w:cs="Arial"/>
          <w:color w:val="505050"/>
          <w:sz w:val="20"/>
          <w:szCs w:val="20"/>
          <w:lang w:eastAsia="sl-SI"/>
        </w:rPr>
        <w:t> zavezanca se šteje otrok do 26. leta starosti, če:</w:t>
      </w:r>
    </w:p>
    <w:p w:rsidR="00D15C6D" w:rsidRPr="00D15C6D" w:rsidRDefault="00D15C6D" w:rsidP="00D15C6D">
      <w:pPr>
        <w:numPr>
          <w:ilvl w:val="0"/>
          <w:numId w:val="3"/>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neprekinjeno ali s prekinitvijo do enega leta nadaljuje šolanje na srednji, višji ali visoki stopnji,</w:t>
      </w:r>
    </w:p>
    <w:p w:rsidR="00D15C6D" w:rsidRPr="00D15C6D" w:rsidRDefault="00D15C6D" w:rsidP="00D15C6D">
      <w:pPr>
        <w:numPr>
          <w:ilvl w:val="0"/>
          <w:numId w:val="3"/>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ni zaposlen,</w:t>
      </w:r>
    </w:p>
    <w:p w:rsidR="00D15C6D" w:rsidRPr="00D15C6D" w:rsidRDefault="00D15C6D" w:rsidP="00D15C6D">
      <w:pPr>
        <w:numPr>
          <w:ilvl w:val="0"/>
          <w:numId w:val="3"/>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ne opravlja dejavnosti, nima lastnih dohodkov za preživljanje ali so ti manjši od 2.436,92 evra letno.</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Za vzdrževanega družinskega člana se šteje tudi otrok, ki izpolnjuje prej naštete pogoje in je starejši od 26 let, če se vpiše na študij do 26. leta starosti, in sicer največ za dobo šestih let od dneva vpisa na dodiplomski študij in največ za dobo štirih let od dneva vpisa na podiplomski študij.</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Za lastne dohodke se štejejo vsi dohodki po ZDoh-2 razen družinske pokojnine, dohodke za začasno ali občasno delo na podlagi napotnice pooblaščene organizacije ali Zavoda RS za zaposlovanje, ki opravlja posredovanje dela dijakom in študentom, štipendije in dohodki, ki so oproščeni plačila dohodnine po 22. in 29. členu ZDoh-2. To pomeni, da lahko študent še vedno zasluži preko avtorske ali podnajeme pogodbe do 2.436,92 evra letno in ga bodo starši lahko uveljavljali kot vzdrževanega družinskega člana.</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Splošna olajšava za 2014 je 3.302,70 evrov</w:t>
      </w:r>
      <w:r w:rsidRPr="00D15C6D">
        <w:rPr>
          <w:rFonts w:ascii="Arial" w:eastAsia="Times New Roman" w:hAnsi="Arial" w:cs="Arial"/>
          <w:color w:val="505050"/>
          <w:sz w:val="20"/>
          <w:szCs w:val="20"/>
          <w:lang w:eastAsia="sl-SI"/>
        </w:rPr>
        <w:t> (enaka kot v letu 2013).</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Dodatna splošna olajšava</w:t>
      </w:r>
      <w:r w:rsidRPr="00D15C6D">
        <w:rPr>
          <w:rFonts w:ascii="Arial" w:eastAsia="Times New Roman" w:hAnsi="Arial" w:cs="Arial"/>
          <w:color w:val="505050"/>
          <w:sz w:val="20"/>
          <w:szCs w:val="20"/>
          <w:lang w:eastAsia="sl-SI"/>
        </w:rPr>
        <w:t> se prizna za zavezance s skupnimi dohodki do 10.866,37 evrov v višini 3.217,12 evrov, za zavezance s skupnimi dohodki med 10.866,37 evrov in 12.570,89 evrov pa v višini 1.115,94 evrov. Dijaki/študenti, ki so prejeli več kot 12.570,89 evrov obdavčljivih dohodkov, niso upravičeni do dodatne splošne olajšave.</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Posebna osebna olajšava</w:t>
      </w:r>
      <w:r w:rsidRPr="00D15C6D">
        <w:rPr>
          <w:rFonts w:ascii="Arial" w:eastAsia="Times New Roman" w:hAnsi="Arial" w:cs="Arial"/>
          <w:color w:val="505050"/>
          <w:sz w:val="20"/>
          <w:szCs w:val="20"/>
          <w:lang w:eastAsia="sl-SI"/>
        </w:rPr>
        <w:t> (t.i. študentska olajšava) se prizna posamezniku, ki ima status dijaka ali študenta in je mlajši od 26. let (prizna se tudi študentu, ki je starejši od 26 let, če se vpiše na študij do 26. leta starosti (najpozneje v letu, ko je dopolnil 26 let), in sicer za dodiplomski študij za dobo največ šest let od dneva vpisa in za podiplomski študij za največ štiri leta od dneva vpisa). Posebna osebna olajšava se prizna zgolj za dohodke, prejete preko študentskega servisa.</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Posebna osebna olajšava za 2014 znaša 2.477,03 evrov.</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Za uveljavitev posebne osebne olajšave sta torej od 1. 1. 2007 naprej samo dva pogoja: status in starost. To pomeni, da lahko dijaki ali študenti zaslužijo kolikor želijo, le da bodo pri višjem zaslužku morali plačati dohodnino.</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Meja 26 let ne pomeni, da nekdo ne sme več delati preko študentskega servisa (izjema so izredni dijaki oz. udeleženci izobraževanja odraslih). Po tej starosti samo izgubijo posebno osebno (študentsko) olajšavo. Od vsakega nakazila na napotnico pa se odvede tudi 25% akontacija dohodnine, ne glede na znesek nakazila.</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 </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Posameznik lahko v letu 2014 (ob vseh koriščenjih olajšavah) zasluži 9.996,50 evrov (neobdavčeno).</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hyperlink r:id="rId10" w:history="1">
        <w:r w:rsidRPr="00D15C6D">
          <w:rPr>
            <w:rFonts w:ascii="Arial" w:eastAsia="Times New Roman" w:hAnsi="Arial" w:cs="Arial"/>
            <w:b/>
            <w:bCs/>
            <w:color w:val="444444"/>
            <w:sz w:val="20"/>
            <w:szCs w:val="20"/>
            <w:u w:val="single"/>
            <w:bdr w:val="none" w:sz="0" w:space="0" w:color="auto" w:frame="1"/>
            <w:lang w:eastAsia="sl-SI"/>
          </w:rPr>
          <w:t>Lestvica za odmero dohodnine in olajšave za leto 2014.</w:t>
        </w:r>
      </w:hyperlink>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 </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Akontacija dohodnine</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Ob izplačilu plačila za študentsko delo se odvede akontacija dohodnine (25% oz. ob upoštevanih normiranih stroških (10%), ki se odštejejo pred izračunom akontacije):</w:t>
      </w:r>
    </w:p>
    <w:p w:rsidR="00D15C6D" w:rsidRPr="00D15C6D" w:rsidRDefault="00D15C6D" w:rsidP="00D15C6D">
      <w:pPr>
        <w:numPr>
          <w:ilvl w:val="0"/>
          <w:numId w:val="4"/>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22,5 % neto za vsako nakazilo, višje od 400 evrov,</w:t>
      </w:r>
    </w:p>
    <w:p w:rsidR="00D15C6D" w:rsidRPr="00D15C6D" w:rsidRDefault="00D15C6D" w:rsidP="00D15C6D">
      <w:pPr>
        <w:numPr>
          <w:ilvl w:val="0"/>
          <w:numId w:val="4"/>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22,5 % neto za vsako nakazilo, če dijak ali študent ne izpolnjuje pogojev za posebno osebno olajšavo (je starejši od 26 let),</w:t>
      </w:r>
    </w:p>
    <w:p w:rsidR="00D15C6D" w:rsidRPr="00D15C6D" w:rsidRDefault="00D15C6D" w:rsidP="00D15C6D">
      <w:pPr>
        <w:numPr>
          <w:ilvl w:val="0"/>
          <w:numId w:val="4"/>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22,5 % za vsako nakazilo ne glede na višino nakazila, če je oseba nerezident.</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lastRenderedPageBreak/>
        <w:t>Izjema za rezidente: akontacije se ne odvede tudi, če je nakazilo manjše ali enako 88,88 evrov, ker se akontacija ne obračuna in ne odtegne v primeru, če je manjša od 20 evrov. Takšen dohodek se obdavči le na letni ravni.</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Akontacija dohodnine pomeni, da se dohodnina, ki bi se morala sicer plačati na koncu leta, plača že ob samem izplačilu zaslužka. Meja oz. znesek (npr. 400 evrov) se ne nanaša na napotnico, ampak na posamezni dohodek - nakazilo. </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Med letom plačana akontacija dohodnine se na kocu leta obračuna in če je previsoka, jo zavezanec dobi povrnjeno (pod pogoji iz Zakona o dohodnini). Velika večina (približno 96 % vseh dijakov in študentov) dobi celotno (med letom plačano akontacijo) povrnjeno.</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b/>
          <w:bCs/>
          <w:color w:val="505050"/>
          <w:sz w:val="20"/>
          <w:szCs w:val="20"/>
          <w:lang w:eastAsia="sl-SI"/>
        </w:rPr>
        <w:t>Stopnje dohodnine</w:t>
      </w:r>
      <w:r w:rsidRPr="00D15C6D">
        <w:rPr>
          <w:rFonts w:ascii="Arial" w:eastAsia="Times New Roman" w:hAnsi="Arial" w:cs="Arial"/>
          <w:color w:val="505050"/>
          <w:sz w:val="20"/>
          <w:szCs w:val="20"/>
          <w:lang w:eastAsia="sl-SI"/>
        </w:rPr>
        <w:t> na podlagi Pravilnika o določitvi olajšav in lestvice za odmero dohodnine za leto 2014 (Uradni list RS, št. 108/13):</w:t>
      </w:r>
    </w:p>
    <w:tbl>
      <w:tblPr>
        <w:tblW w:w="8745" w:type="dxa"/>
        <w:tblCellSpacing w:w="0" w:type="dxa"/>
        <w:tblBorders>
          <w:top w:val="outset" w:sz="6" w:space="0" w:color="auto"/>
          <w:left w:val="single" w:sz="6" w:space="0" w:color="BBBBBB"/>
          <w:bottom w:val="outset" w:sz="2" w:space="0" w:color="auto"/>
          <w:right w:val="outset" w:sz="2" w:space="0" w:color="auto"/>
        </w:tblBorders>
        <w:tblCellMar>
          <w:left w:w="0" w:type="dxa"/>
          <w:right w:w="0" w:type="dxa"/>
        </w:tblCellMar>
        <w:tblLook w:val="04A0" w:firstRow="1" w:lastRow="0" w:firstColumn="1" w:lastColumn="0" w:noHBand="0" w:noVBand="1"/>
      </w:tblPr>
      <w:tblGrid>
        <w:gridCol w:w="2210"/>
        <w:gridCol w:w="2209"/>
        <w:gridCol w:w="1430"/>
        <w:gridCol w:w="2896"/>
      </w:tblGrid>
      <w:tr w:rsidR="00D15C6D" w:rsidRPr="00D15C6D" w:rsidTr="00D15C6D">
        <w:trPr>
          <w:tblCellSpacing w:w="0" w:type="dxa"/>
        </w:trPr>
        <w:tc>
          <w:tcPr>
            <w:tcW w:w="0" w:type="auto"/>
            <w:gridSpan w:val="2"/>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Če znaša neto letna davčna osnova v evrih</w:t>
            </w:r>
          </w:p>
        </w:tc>
        <w:tc>
          <w:tcPr>
            <w:tcW w:w="0" w:type="auto"/>
            <w:gridSpan w:val="2"/>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Znaša dohodnina v evrih</w:t>
            </w:r>
          </w:p>
        </w:tc>
      </w:tr>
      <w:tr w:rsidR="00D15C6D" w:rsidRPr="00D15C6D" w:rsidTr="00D15C6D">
        <w:trPr>
          <w:tblCellSpacing w:w="0" w:type="dxa"/>
        </w:trPr>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Nad</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Do</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 </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 </w:t>
            </w:r>
          </w:p>
        </w:tc>
      </w:tr>
      <w:tr w:rsidR="00D15C6D" w:rsidRPr="00D15C6D" w:rsidTr="00D15C6D">
        <w:trPr>
          <w:tblCellSpacing w:w="0" w:type="dxa"/>
        </w:trPr>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 </w:t>
            </w:r>
          </w:p>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 </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8.021,34</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 </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16 %</w:t>
            </w:r>
          </w:p>
        </w:tc>
      </w:tr>
      <w:tr w:rsidR="00D15C6D" w:rsidRPr="00D15C6D" w:rsidTr="00D15C6D">
        <w:trPr>
          <w:tblCellSpacing w:w="0" w:type="dxa"/>
        </w:trPr>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8.021,34</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18.960,28</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1.283,41</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+ 27 %</w:t>
            </w:r>
            <w:r w:rsidRPr="00D15C6D">
              <w:rPr>
                <w:rFonts w:ascii="MS Mincho" w:eastAsia="MS Mincho" w:hAnsi="MS Mincho" w:cs="MS Mincho"/>
                <w:sz w:val="24"/>
                <w:szCs w:val="24"/>
                <w:lang w:eastAsia="sl-SI"/>
              </w:rPr>
              <w:t xml:space="preserve">　　</w:t>
            </w:r>
            <w:r w:rsidRPr="00D15C6D">
              <w:rPr>
                <w:rFonts w:ascii="Times New Roman" w:eastAsia="Times New Roman" w:hAnsi="Times New Roman" w:cs="Times New Roman"/>
                <w:sz w:val="24"/>
                <w:szCs w:val="24"/>
                <w:lang w:eastAsia="sl-SI"/>
              </w:rPr>
              <w:t>nad 8.021,34</w:t>
            </w:r>
          </w:p>
        </w:tc>
      </w:tr>
      <w:tr w:rsidR="00D15C6D" w:rsidRPr="00D15C6D" w:rsidTr="00D15C6D">
        <w:trPr>
          <w:tblCellSpacing w:w="0" w:type="dxa"/>
        </w:trPr>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18.960,28</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70.907,20</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4.236,92</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+ 41 %</w:t>
            </w:r>
            <w:r w:rsidRPr="00D15C6D">
              <w:rPr>
                <w:rFonts w:ascii="MS Mincho" w:eastAsia="MS Mincho" w:hAnsi="MS Mincho" w:cs="MS Mincho"/>
                <w:sz w:val="24"/>
                <w:szCs w:val="24"/>
                <w:lang w:eastAsia="sl-SI"/>
              </w:rPr>
              <w:t xml:space="preserve">　　</w:t>
            </w:r>
            <w:r w:rsidRPr="00D15C6D">
              <w:rPr>
                <w:rFonts w:ascii="Times New Roman" w:eastAsia="Times New Roman" w:hAnsi="Times New Roman" w:cs="Times New Roman"/>
                <w:sz w:val="24"/>
                <w:szCs w:val="24"/>
                <w:lang w:eastAsia="sl-SI"/>
              </w:rPr>
              <w:t>nad 18.960,28</w:t>
            </w:r>
          </w:p>
        </w:tc>
      </w:tr>
      <w:tr w:rsidR="00D15C6D" w:rsidRPr="00D15C6D" w:rsidTr="00D15C6D">
        <w:trPr>
          <w:tblCellSpacing w:w="0" w:type="dxa"/>
        </w:trPr>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70.907,20</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 </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25.535,16</w:t>
            </w:r>
          </w:p>
        </w:tc>
        <w:tc>
          <w:tcPr>
            <w:tcW w:w="0" w:type="auto"/>
            <w:tcBorders>
              <w:top w:val="outset" w:sz="2" w:space="0" w:color="auto"/>
              <w:left w:val="outset" w:sz="2" w:space="0" w:color="auto"/>
              <w:bottom w:val="single" w:sz="6" w:space="0" w:color="BBBBBB"/>
              <w:right w:val="single" w:sz="6" w:space="0" w:color="BBBBBB"/>
            </w:tcBorders>
            <w:tcMar>
              <w:top w:w="105" w:type="dxa"/>
              <w:left w:w="225" w:type="dxa"/>
              <w:bottom w:w="105" w:type="dxa"/>
              <w:right w:w="225" w:type="dxa"/>
            </w:tcMar>
            <w:vAlign w:val="center"/>
            <w:hideMark/>
          </w:tcPr>
          <w:p w:rsidR="00D15C6D" w:rsidRPr="00D15C6D" w:rsidRDefault="00D15C6D" w:rsidP="00D15C6D">
            <w:pPr>
              <w:spacing w:after="0" w:line="240" w:lineRule="auto"/>
              <w:jc w:val="both"/>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t>+ 50 % nad 70.907,20</w:t>
            </w:r>
          </w:p>
        </w:tc>
      </w:tr>
    </w:tbl>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Izračun za dohodnino je potrebno torej narediti individualno, odvisen pa je od tega, koliko je zavezanec zaslužil in katere olajšave so mu priznane in ali ga starši uveljavljajo kot vzdrževanega družinskega člana. Pri izračunu je potrebno upoštevati tudi t.i. 10 % normiranih stroškov.</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Možno je tudi plačilo dohodnine v obrokih, odobri pa ga davčni organ na predlog zavezanca za plačilo.</w:t>
      </w:r>
    </w:p>
    <w:p w:rsidR="00D15C6D" w:rsidRPr="00D15C6D" w:rsidRDefault="00D15C6D" w:rsidP="00D15C6D">
      <w:pPr>
        <w:shd w:val="clear" w:color="auto" w:fill="FFFFFF"/>
        <w:spacing w:after="225" w:line="240" w:lineRule="auto"/>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Zakonodaja:</w:t>
      </w:r>
    </w:p>
    <w:p w:rsidR="00D15C6D" w:rsidRPr="00D15C6D" w:rsidRDefault="00D15C6D" w:rsidP="00D15C6D">
      <w:pPr>
        <w:numPr>
          <w:ilvl w:val="0"/>
          <w:numId w:val="5"/>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Pravilnik o pogojih za opravljanje dejavnosti agencij za zaposlovanje (Uradni list RS, št. 139/2006)</w:t>
      </w:r>
    </w:p>
    <w:p w:rsidR="00D15C6D" w:rsidRPr="00D15C6D" w:rsidRDefault="00D15C6D" w:rsidP="00D15C6D">
      <w:pPr>
        <w:numPr>
          <w:ilvl w:val="0"/>
          <w:numId w:val="5"/>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Zakon o delovnih razmerjih (Uradni list RS, št. </w:t>
      </w:r>
      <w:hyperlink r:id="rId11" w:history="1">
        <w:r w:rsidRPr="00D15C6D">
          <w:rPr>
            <w:rFonts w:ascii="Arial" w:eastAsia="Times New Roman" w:hAnsi="Arial" w:cs="Arial"/>
            <w:b/>
            <w:bCs/>
            <w:color w:val="444444"/>
            <w:sz w:val="20"/>
            <w:szCs w:val="20"/>
            <w:u w:val="single"/>
            <w:bdr w:val="none" w:sz="0" w:space="0" w:color="auto" w:frame="1"/>
            <w:lang w:eastAsia="sl-SI"/>
          </w:rPr>
          <w:t>21/13</w:t>
        </w:r>
      </w:hyperlink>
      <w:r w:rsidRPr="00D15C6D">
        <w:rPr>
          <w:rFonts w:ascii="Arial" w:eastAsia="Times New Roman" w:hAnsi="Arial" w:cs="Arial"/>
          <w:color w:val="505050"/>
          <w:sz w:val="20"/>
          <w:szCs w:val="20"/>
          <w:lang w:eastAsia="sl-SI"/>
        </w:rPr>
        <w:t> - ZDR-1)</w:t>
      </w:r>
    </w:p>
    <w:p w:rsidR="00D15C6D" w:rsidRPr="00D15C6D" w:rsidRDefault="00D15C6D" w:rsidP="00D15C6D">
      <w:pPr>
        <w:numPr>
          <w:ilvl w:val="0"/>
          <w:numId w:val="5"/>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Zakon o zaposlovanju in zavarovanju za primer brezposelnosti (Uradni list RS, št. </w:t>
      </w:r>
      <w:hyperlink r:id="rId12" w:history="1">
        <w:r w:rsidRPr="00D15C6D">
          <w:rPr>
            <w:rFonts w:ascii="Arial" w:eastAsia="Times New Roman" w:hAnsi="Arial" w:cs="Arial"/>
            <w:b/>
            <w:bCs/>
            <w:color w:val="444444"/>
            <w:sz w:val="20"/>
            <w:szCs w:val="20"/>
            <w:u w:val="single"/>
            <w:bdr w:val="none" w:sz="0" w:space="0" w:color="auto" w:frame="1"/>
            <w:lang w:eastAsia="sl-SI"/>
          </w:rPr>
          <w:t>107/06</w:t>
        </w:r>
      </w:hyperlink>
      <w:r w:rsidRPr="00D15C6D">
        <w:rPr>
          <w:rFonts w:ascii="Arial" w:eastAsia="Times New Roman" w:hAnsi="Arial" w:cs="Arial"/>
          <w:color w:val="505050"/>
          <w:sz w:val="20"/>
          <w:szCs w:val="20"/>
          <w:lang w:eastAsia="sl-SI"/>
        </w:rPr>
        <w:t> - uradno prečiščeno besedilo, </w:t>
      </w:r>
      <w:hyperlink r:id="rId13" w:history="1">
        <w:r w:rsidRPr="00D15C6D">
          <w:rPr>
            <w:rFonts w:ascii="Arial" w:eastAsia="Times New Roman" w:hAnsi="Arial" w:cs="Arial"/>
            <w:b/>
            <w:bCs/>
            <w:color w:val="444444"/>
            <w:sz w:val="20"/>
            <w:szCs w:val="20"/>
            <w:u w:val="single"/>
            <w:bdr w:val="none" w:sz="0" w:space="0" w:color="auto" w:frame="1"/>
            <w:lang w:eastAsia="sl-SI"/>
          </w:rPr>
          <w:t>114/06</w:t>
        </w:r>
      </w:hyperlink>
      <w:r w:rsidRPr="00D15C6D">
        <w:rPr>
          <w:rFonts w:ascii="Arial" w:eastAsia="Times New Roman" w:hAnsi="Arial" w:cs="Arial"/>
          <w:color w:val="505050"/>
          <w:sz w:val="20"/>
          <w:szCs w:val="20"/>
          <w:lang w:eastAsia="sl-SI"/>
        </w:rPr>
        <w:t> - ZUTPG, </w:t>
      </w:r>
      <w:hyperlink r:id="rId14" w:history="1">
        <w:r w:rsidRPr="00D15C6D">
          <w:rPr>
            <w:rFonts w:ascii="Arial" w:eastAsia="Times New Roman" w:hAnsi="Arial" w:cs="Arial"/>
            <w:b/>
            <w:bCs/>
            <w:color w:val="444444"/>
            <w:sz w:val="20"/>
            <w:szCs w:val="20"/>
            <w:u w:val="single"/>
            <w:bdr w:val="none" w:sz="0" w:space="0" w:color="auto" w:frame="1"/>
            <w:lang w:eastAsia="sl-SI"/>
          </w:rPr>
          <w:t>59/07</w:t>
        </w:r>
      </w:hyperlink>
      <w:r w:rsidRPr="00D15C6D">
        <w:rPr>
          <w:rFonts w:ascii="Arial" w:eastAsia="Times New Roman" w:hAnsi="Arial" w:cs="Arial"/>
          <w:color w:val="505050"/>
          <w:sz w:val="20"/>
          <w:szCs w:val="20"/>
          <w:lang w:eastAsia="sl-SI"/>
        </w:rPr>
        <w:t> - ZŠtip,</w:t>
      </w:r>
      <w:hyperlink r:id="rId15" w:history="1">
        <w:r w:rsidRPr="00D15C6D">
          <w:rPr>
            <w:rFonts w:ascii="Arial" w:eastAsia="Times New Roman" w:hAnsi="Arial" w:cs="Arial"/>
            <w:b/>
            <w:bCs/>
            <w:color w:val="444444"/>
            <w:sz w:val="20"/>
            <w:szCs w:val="20"/>
            <w:u w:val="single"/>
            <w:bdr w:val="none" w:sz="0" w:space="0" w:color="auto" w:frame="1"/>
            <w:lang w:eastAsia="sl-SI"/>
          </w:rPr>
          <w:t>51/10</w:t>
        </w:r>
      </w:hyperlink>
      <w:r w:rsidRPr="00D15C6D">
        <w:rPr>
          <w:rFonts w:ascii="Arial" w:eastAsia="Times New Roman" w:hAnsi="Arial" w:cs="Arial"/>
          <w:color w:val="505050"/>
          <w:sz w:val="20"/>
          <w:szCs w:val="20"/>
          <w:lang w:eastAsia="sl-SI"/>
        </w:rPr>
        <w:t> - odl. US in </w:t>
      </w:r>
      <w:hyperlink r:id="rId16" w:history="1">
        <w:r w:rsidRPr="00D15C6D">
          <w:rPr>
            <w:rFonts w:ascii="Arial" w:eastAsia="Times New Roman" w:hAnsi="Arial" w:cs="Arial"/>
            <w:b/>
            <w:bCs/>
            <w:color w:val="444444"/>
            <w:sz w:val="20"/>
            <w:szCs w:val="20"/>
            <w:u w:val="single"/>
            <w:bdr w:val="none" w:sz="0" w:space="0" w:color="auto" w:frame="1"/>
            <w:lang w:eastAsia="sl-SI"/>
          </w:rPr>
          <w:t>80/10</w:t>
        </w:r>
      </w:hyperlink>
      <w:r w:rsidRPr="00D15C6D">
        <w:rPr>
          <w:rFonts w:ascii="Arial" w:eastAsia="Times New Roman" w:hAnsi="Arial" w:cs="Arial"/>
          <w:color w:val="505050"/>
          <w:sz w:val="20"/>
          <w:szCs w:val="20"/>
          <w:lang w:eastAsia="sl-SI"/>
        </w:rPr>
        <w:t> - ZUTD)</w:t>
      </w:r>
    </w:p>
    <w:p w:rsidR="00D15C6D" w:rsidRPr="00D15C6D" w:rsidRDefault="00D15C6D" w:rsidP="00D15C6D">
      <w:pPr>
        <w:numPr>
          <w:ilvl w:val="0"/>
          <w:numId w:val="5"/>
        </w:numPr>
        <w:shd w:val="clear" w:color="auto" w:fill="FFFFFF"/>
        <w:spacing w:after="0" w:line="240" w:lineRule="auto"/>
        <w:ind w:left="180"/>
        <w:jc w:val="both"/>
        <w:rPr>
          <w:rFonts w:ascii="Arial" w:eastAsia="Times New Roman" w:hAnsi="Arial" w:cs="Arial"/>
          <w:color w:val="505050"/>
          <w:sz w:val="20"/>
          <w:szCs w:val="20"/>
          <w:lang w:eastAsia="sl-SI"/>
        </w:rPr>
      </w:pPr>
      <w:r w:rsidRPr="00D15C6D">
        <w:rPr>
          <w:rFonts w:ascii="Arial" w:eastAsia="Times New Roman" w:hAnsi="Arial" w:cs="Arial"/>
          <w:color w:val="505050"/>
          <w:sz w:val="20"/>
          <w:szCs w:val="20"/>
          <w:lang w:eastAsia="sl-SI"/>
        </w:rPr>
        <w:t>Zakon o urejanju trga dela (Uradni list RS, št. </w:t>
      </w:r>
      <w:hyperlink r:id="rId17" w:history="1">
        <w:r w:rsidRPr="00D15C6D">
          <w:rPr>
            <w:rFonts w:ascii="Arial" w:eastAsia="Times New Roman" w:hAnsi="Arial" w:cs="Arial"/>
            <w:b/>
            <w:bCs/>
            <w:color w:val="444444"/>
            <w:sz w:val="20"/>
            <w:szCs w:val="20"/>
            <w:u w:val="single"/>
            <w:bdr w:val="none" w:sz="0" w:space="0" w:color="auto" w:frame="1"/>
            <w:lang w:eastAsia="sl-SI"/>
          </w:rPr>
          <w:t>80/10</w:t>
        </w:r>
      </w:hyperlink>
      <w:r w:rsidRPr="00D15C6D">
        <w:rPr>
          <w:rFonts w:ascii="Arial" w:eastAsia="Times New Roman" w:hAnsi="Arial" w:cs="Arial"/>
          <w:color w:val="505050"/>
          <w:sz w:val="20"/>
          <w:szCs w:val="20"/>
          <w:lang w:eastAsia="sl-SI"/>
        </w:rPr>
        <w:t>, </w:t>
      </w:r>
      <w:hyperlink r:id="rId18" w:history="1">
        <w:r w:rsidRPr="00D15C6D">
          <w:rPr>
            <w:rFonts w:ascii="Arial" w:eastAsia="Times New Roman" w:hAnsi="Arial" w:cs="Arial"/>
            <w:b/>
            <w:bCs/>
            <w:color w:val="444444"/>
            <w:sz w:val="20"/>
            <w:szCs w:val="20"/>
            <w:u w:val="single"/>
            <w:bdr w:val="none" w:sz="0" w:space="0" w:color="auto" w:frame="1"/>
            <w:lang w:eastAsia="sl-SI"/>
          </w:rPr>
          <w:t>40/12</w:t>
        </w:r>
      </w:hyperlink>
      <w:r w:rsidRPr="00D15C6D">
        <w:rPr>
          <w:rFonts w:ascii="Arial" w:eastAsia="Times New Roman" w:hAnsi="Arial" w:cs="Arial"/>
          <w:color w:val="505050"/>
          <w:sz w:val="20"/>
          <w:szCs w:val="20"/>
          <w:lang w:eastAsia="sl-SI"/>
        </w:rPr>
        <w:t> - ZUJF, </w:t>
      </w:r>
      <w:hyperlink r:id="rId19" w:history="1">
        <w:r w:rsidRPr="00D15C6D">
          <w:rPr>
            <w:rFonts w:ascii="Arial" w:eastAsia="Times New Roman" w:hAnsi="Arial" w:cs="Arial"/>
            <w:b/>
            <w:bCs/>
            <w:color w:val="444444"/>
            <w:sz w:val="20"/>
            <w:szCs w:val="20"/>
            <w:u w:val="single"/>
            <w:bdr w:val="none" w:sz="0" w:space="0" w:color="auto" w:frame="1"/>
            <w:lang w:eastAsia="sl-SI"/>
          </w:rPr>
          <w:t>21/13</w:t>
        </w:r>
      </w:hyperlink>
      <w:r w:rsidRPr="00D15C6D">
        <w:rPr>
          <w:rFonts w:ascii="Arial" w:eastAsia="Times New Roman" w:hAnsi="Arial" w:cs="Arial"/>
          <w:color w:val="505050"/>
          <w:sz w:val="20"/>
          <w:szCs w:val="20"/>
          <w:lang w:eastAsia="sl-SI"/>
        </w:rPr>
        <w:t>, </w:t>
      </w:r>
      <w:hyperlink r:id="rId20" w:history="1">
        <w:r w:rsidRPr="00D15C6D">
          <w:rPr>
            <w:rFonts w:ascii="Arial" w:eastAsia="Times New Roman" w:hAnsi="Arial" w:cs="Arial"/>
            <w:b/>
            <w:bCs/>
            <w:color w:val="444444"/>
            <w:sz w:val="20"/>
            <w:szCs w:val="20"/>
            <w:u w:val="single"/>
            <w:bdr w:val="none" w:sz="0" w:space="0" w:color="auto" w:frame="1"/>
            <w:lang w:eastAsia="sl-SI"/>
          </w:rPr>
          <w:t>63/13</w:t>
        </w:r>
      </w:hyperlink>
      <w:r w:rsidRPr="00D15C6D">
        <w:rPr>
          <w:rFonts w:ascii="Arial" w:eastAsia="Times New Roman" w:hAnsi="Arial" w:cs="Arial"/>
          <w:color w:val="505050"/>
          <w:sz w:val="20"/>
          <w:szCs w:val="20"/>
          <w:lang w:eastAsia="sl-SI"/>
        </w:rPr>
        <w:t>, </w:t>
      </w:r>
      <w:hyperlink r:id="rId21" w:history="1">
        <w:r w:rsidRPr="00D15C6D">
          <w:rPr>
            <w:rFonts w:ascii="Arial" w:eastAsia="Times New Roman" w:hAnsi="Arial" w:cs="Arial"/>
            <w:b/>
            <w:bCs/>
            <w:color w:val="444444"/>
            <w:sz w:val="20"/>
            <w:szCs w:val="20"/>
            <w:u w:val="single"/>
            <w:bdr w:val="none" w:sz="0" w:space="0" w:color="auto" w:frame="1"/>
            <w:lang w:eastAsia="sl-SI"/>
          </w:rPr>
          <w:t>100/13</w:t>
        </w:r>
      </w:hyperlink>
      <w:r w:rsidRPr="00D15C6D">
        <w:rPr>
          <w:rFonts w:ascii="Arial" w:eastAsia="Times New Roman" w:hAnsi="Arial" w:cs="Arial"/>
          <w:color w:val="505050"/>
          <w:sz w:val="20"/>
          <w:szCs w:val="20"/>
          <w:lang w:eastAsia="sl-SI"/>
        </w:rPr>
        <w:t> in </w:t>
      </w:r>
      <w:hyperlink r:id="rId22" w:history="1">
        <w:r w:rsidRPr="00D15C6D">
          <w:rPr>
            <w:rFonts w:ascii="Arial" w:eastAsia="Times New Roman" w:hAnsi="Arial" w:cs="Arial"/>
            <w:b/>
            <w:bCs/>
            <w:color w:val="444444"/>
            <w:sz w:val="20"/>
            <w:szCs w:val="20"/>
            <w:u w:val="single"/>
            <w:bdr w:val="none" w:sz="0" w:space="0" w:color="auto" w:frame="1"/>
            <w:lang w:eastAsia="sl-SI"/>
          </w:rPr>
          <w:t>32/14</w:t>
        </w:r>
      </w:hyperlink>
      <w:r w:rsidRPr="00D15C6D">
        <w:rPr>
          <w:rFonts w:ascii="Arial" w:eastAsia="Times New Roman" w:hAnsi="Arial" w:cs="Arial"/>
          <w:color w:val="505050"/>
          <w:sz w:val="20"/>
          <w:szCs w:val="20"/>
          <w:lang w:eastAsia="sl-SI"/>
        </w:rPr>
        <w:t> - ZPDZC-1).</w:t>
      </w:r>
    </w:p>
    <w:p w:rsidR="00B54DBC" w:rsidRDefault="00B54DBC"/>
    <w:p w:rsidR="00D15C6D" w:rsidRDefault="00D15C6D"/>
    <w:p w:rsidR="00D15C6D" w:rsidRDefault="00D15C6D"/>
    <w:p w:rsidR="00D15C6D" w:rsidRDefault="00D15C6D"/>
    <w:p w:rsidR="00D15C6D" w:rsidRDefault="00D15C6D"/>
    <w:p w:rsidR="00D15C6D" w:rsidRDefault="00D15C6D"/>
    <w:p w:rsidR="00D15C6D" w:rsidRPr="00D15C6D" w:rsidRDefault="00D15C6D" w:rsidP="00D15C6D">
      <w:pPr>
        <w:pBdr>
          <w:bottom w:val="dotted" w:sz="6" w:space="30" w:color="999999"/>
        </w:pBdr>
        <w:shd w:val="clear" w:color="auto" w:fill="FFFFFF"/>
        <w:spacing w:after="150" w:line="240" w:lineRule="auto"/>
        <w:textAlignment w:val="baseline"/>
        <w:outlineLvl w:val="0"/>
        <w:rPr>
          <w:rFonts w:ascii="Arial" w:eastAsia="Times New Roman" w:hAnsi="Arial" w:cs="Arial"/>
          <w:b/>
          <w:bCs/>
          <w:color w:val="333333"/>
          <w:kern w:val="36"/>
          <w:sz w:val="30"/>
          <w:szCs w:val="30"/>
          <w:lang w:eastAsia="sl-SI"/>
        </w:rPr>
      </w:pPr>
      <w:r w:rsidRPr="00D15C6D">
        <w:rPr>
          <w:rFonts w:ascii="Arial" w:eastAsia="Times New Roman" w:hAnsi="Arial" w:cs="Arial"/>
          <w:b/>
          <w:bCs/>
          <w:color w:val="333333"/>
          <w:kern w:val="36"/>
          <w:sz w:val="30"/>
          <w:szCs w:val="30"/>
          <w:lang w:eastAsia="sl-SI"/>
        </w:rPr>
        <w:lastRenderedPageBreak/>
        <w:t>Študentsko delo in aktualne zaposlitve za študente in dijake</w:t>
      </w:r>
    </w:p>
    <w:p w:rsidR="00D15C6D" w:rsidRPr="00D15C6D" w:rsidRDefault="00D15C6D" w:rsidP="00D15C6D">
      <w:pPr>
        <w:spacing w:after="0" w:line="270" w:lineRule="atLeast"/>
        <w:textAlignment w:val="baseline"/>
        <w:outlineLvl w:val="3"/>
        <w:rPr>
          <w:rFonts w:ascii="inherit" w:eastAsia="Times New Roman" w:hAnsi="inherit" w:cs="Arial"/>
          <w:b/>
          <w:bCs/>
          <w:color w:val="333333"/>
          <w:sz w:val="21"/>
          <w:szCs w:val="21"/>
          <w:lang w:eastAsia="sl-SI"/>
        </w:rPr>
      </w:pPr>
      <w:r w:rsidRPr="00D15C6D">
        <w:rPr>
          <w:rFonts w:ascii="inherit" w:eastAsia="Times New Roman" w:hAnsi="inherit" w:cs="Arial"/>
          <w:b/>
          <w:bCs/>
          <w:color w:val="333333"/>
          <w:sz w:val="21"/>
          <w:szCs w:val="21"/>
          <w:bdr w:val="none" w:sz="0" w:space="0" w:color="auto" w:frame="1"/>
          <w:lang w:eastAsia="sl-SI"/>
        </w:rPr>
        <w:t>Kdo lahko opravlja študentsko delo, kje najti aktualne zaposlitve in kaj mora vedeti študent o akontaciji dohodnine za opravljeno delo preko napotnice. </w:t>
      </w:r>
    </w:p>
    <w:p w:rsidR="00D15C6D" w:rsidRPr="00D15C6D" w:rsidRDefault="00D15C6D" w:rsidP="00D15C6D">
      <w:pPr>
        <w:spacing w:after="0" w:line="270" w:lineRule="atLeast"/>
        <w:textAlignment w:val="baseline"/>
        <w:outlineLvl w:val="3"/>
        <w:rPr>
          <w:rFonts w:ascii="inherit" w:eastAsia="Times New Roman" w:hAnsi="inherit" w:cs="Arial"/>
          <w:b/>
          <w:bCs/>
          <w:color w:val="333333"/>
          <w:sz w:val="21"/>
          <w:szCs w:val="21"/>
          <w:lang w:eastAsia="sl-SI"/>
        </w:rPr>
      </w:pPr>
      <w:r w:rsidRPr="00D15C6D">
        <w:rPr>
          <w:rFonts w:ascii="inherit" w:eastAsia="Times New Roman" w:hAnsi="inherit" w:cs="Arial"/>
          <w:b/>
          <w:bCs/>
          <w:noProof/>
          <w:color w:val="333333"/>
          <w:sz w:val="21"/>
          <w:szCs w:val="21"/>
          <w:lang w:eastAsia="sl-SI"/>
        </w:rPr>
        <w:drawing>
          <wp:inline distT="0" distB="0" distL="0" distR="0">
            <wp:extent cx="4762500" cy="2038350"/>
            <wp:effectExtent l="0" t="0" r="0" b="0"/>
            <wp:docPr id="1" name="Picture 1" descr="https://www.mojedelo.com/vsebina/datoteka/40bc69de9e434ae18dc088567a181c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jedelo.com/vsebina/datoteka/40bc69de9e434ae18dc088567a181c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038350"/>
                    </a:xfrm>
                    <a:prstGeom prst="rect">
                      <a:avLst/>
                    </a:prstGeom>
                    <a:noFill/>
                    <a:ln>
                      <a:noFill/>
                    </a:ln>
                  </pic:spPr>
                </pic:pic>
              </a:graphicData>
            </a:graphic>
          </wp:inline>
        </w:drawing>
      </w:r>
    </w:p>
    <w:p w:rsidR="00D15C6D" w:rsidRPr="00D15C6D" w:rsidRDefault="00D15C6D" w:rsidP="00D15C6D">
      <w:pPr>
        <w:spacing w:after="0" w:line="240" w:lineRule="auto"/>
        <w:textAlignment w:val="baseline"/>
        <w:outlineLvl w:val="2"/>
        <w:rPr>
          <w:rFonts w:ascii="Arial" w:eastAsia="Times New Roman" w:hAnsi="Arial" w:cs="Arial"/>
          <w:b/>
          <w:bCs/>
          <w:color w:val="333333"/>
          <w:sz w:val="21"/>
          <w:szCs w:val="21"/>
          <w:lang w:eastAsia="sl-SI"/>
        </w:rPr>
      </w:pPr>
      <w:r w:rsidRPr="00D15C6D">
        <w:rPr>
          <w:rFonts w:ascii="inherit" w:eastAsia="Times New Roman" w:hAnsi="inherit" w:cs="Arial"/>
          <w:b/>
          <w:bCs/>
          <w:color w:val="333333"/>
          <w:sz w:val="21"/>
          <w:szCs w:val="21"/>
          <w:bdr w:val="none" w:sz="0" w:space="0" w:color="auto" w:frame="1"/>
          <w:lang w:eastAsia="sl-SI"/>
        </w:rPr>
        <w:t>Prosta delovna mesta za študente in dijake</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Zaposlitveni portal MojeDelo.com sicer ni specializiran za objavo prostih delovnih mest za študente in dijake, vendar delodajalci in kadrovske agencije pogosto objavijo študentska dela tudi pri nas. Bazen kandidatov na našem portalu je tako širok, da vsi zainteresirani najdejo ustrezne kandidate za delo preko študentske napotnice.</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Na drugi strani so iskalci študentskega dela pri nas v prednosti, saj konkurenčni kandidati pregledujejo oglasne deske in spletne strani študentskih servisov, pozabijo pa na zaposlitvene portale, ki objavljajo omenjena prosta delovna mesta. Tako je tukaj konkurenca manjša in zato imajo študentje več možnosti, da najdejo zaposlitev.</w:t>
      </w:r>
    </w:p>
    <w:p w:rsidR="00D15C6D" w:rsidRPr="00D15C6D" w:rsidRDefault="00D15C6D" w:rsidP="00D15C6D">
      <w:pPr>
        <w:spacing w:after="0" w:line="240" w:lineRule="auto"/>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pict>
          <v:rect id="_x0000_i1025" style="width:0;height:.75pt" o:hralign="center" o:hrstd="t" o:hr="t" fillcolor="#a0a0a0" stroked="f"/>
        </w:pict>
      </w:r>
    </w:p>
    <w:p w:rsidR="00D15C6D" w:rsidRPr="00D15C6D" w:rsidRDefault="00D15C6D" w:rsidP="00D15C6D">
      <w:pPr>
        <w:spacing w:after="0" w:line="240" w:lineRule="auto"/>
        <w:textAlignment w:val="baseline"/>
        <w:outlineLvl w:val="2"/>
        <w:rPr>
          <w:rFonts w:ascii="Arial" w:eastAsia="Times New Roman" w:hAnsi="Arial" w:cs="Arial"/>
          <w:b/>
          <w:bCs/>
          <w:color w:val="333333"/>
          <w:sz w:val="21"/>
          <w:szCs w:val="21"/>
          <w:lang w:eastAsia="sl-SI"/>
        </w:rPr>
      </w:pPr>
      <w:hyperlink r:id="rId24" w:history="1">
        <w:r w:rsidRPr="00D15C6D">
          <w:rPr>
            <w:rFonts w:ascii="inherit" w:eastAsia="Times New Roman" w:hAnsi="inherit" w:cs="Arial"/>
            <w:b/>
            <w:bCs/>
            <w:color w:val="CC6600"/>
            <w:sz w:val="21"/>
            <w:szCs w:val="21"/>
            <w:bdr w:val="none" w:sz="0" w:space="0" w:color="auto" w:frame="1"/>
            <w:lang w:eastAsia="sl-SI"/>
          </w:rPr>
          <w:t>&gt;&gt;&gt; Aktualna prosta delovna mesta za študente najdete tukaj. </w:t>
        </w:r>
      </w:hyperlink>
    </w:p>
    <w:p w:rsidR="00D15C6D" w:rsidRPr="00D15C6D" w:rsidRDefault="00D15C6D" w:rsidP="00D15C6D">
      <w:pPr>
        <w:spacing w:after="0" w:line="240" w:lineRule="auto"/>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pict>
          <v:rect id="_x0000_i1026" style="width:0;height:.75pt" o:hralign="center" o:hrstd="t" o:hr="t" fillcolor="#a0a0a0" stroked="f"/>
        </w:pic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Seveda vam svetujemo, da uporabite spletni iskalnik in poiščete vse razpoložljive zaposlitve za študente in dijake. Prav tako obiščite spletne strani študentskih servisov. Ne pozabite niti na spletne strani podjetij, ki redno zaposlujejo preko študentskih napotnic. Naročite se na brezplačno obveščanje o aktualnih delovnih mestih preko SMS-ja ali elektronske pošte.</w:t>
      </w:r>
    </w:p>
    <w:p w:rsidR="00D15C6D" w:rsidRPr="00D15C6D" w:rsidRDefault="00D15C6D" w:rsidP="00D15C6D">
      <w:pPr>
        <w:spacing w:after="0" w:line="240" w:lineRule="auto"/>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pict>
          <v:rect id="_x0000_i1027" style="width:0;height:.75pt" o:hralign="center" o:hrstd="t" o:hr="t" fillcolor="#a0a0a0" stroked="f"/>
        </w:pict>
      </w:r>
    </w:p>
    <w:p w:rsidR="00D15C6D" w:rsidRPr="00D15C6D" w:rsidRDefault="00D15C6D" w:rsidP="00D15C6D">
      <w:pPr>
        <w:spacing w:after="0" w:line="240" w:lineRule="auto"/>
        <w:textAlignment w:val="baseline"/>
        <w:outlineLvl w:val="2"/>
        <w:rPr>
          <w:rFonts w:ascii="Arial" w:eastAsia="Times New Roman" w:hAnsi="Arial" w:cs="Arial"/>
          <w:b/>
          <w:bCs/>
          <w:color w:val="333333"/>
          <w:sz w:val="21"/>
          <w:szCs w:val="21"/>
          <w:lang w:eastAsia="sl-SI"/>
        </w:rPr>
      </w:pPr>
      <w:r w:rsidRPr="00D15C6D">
        <w:rPr>
          <w:rFonts w:ascii="inherit" w:eastAsia="Times New Roman" w:hAnsi="inherit" w:cs="Arial"/>
          <w:b/>
          <w:bCs/>
          <w:color w:val="333333"/>
          <w:sz w:val="21"/>
          <w:szCs w:val="21"/>
          <w:bdr w:val="none" w:sz="0" w:space="0" w:color="auto" w:frame="1"/>
          <w:lang w:eastAsia="sl-SI"/>
        </w:rPr>
        <w:t>Kdo lahko opravlja študentsko delo</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Študentsko delo (enako velja tudi dijaško delo) je občasno ali začasno delo, ki ga študent opravlja preko pooblaščene organizacije na podlagi študentske napotnice. Med pooblaščene se uvrščajo tiste organizacije, ki imajo dovoljenje (koncesijo) za opravljanje te dejavnosti. Poleg Zavoda za zaposlovanje so tukaj seveda še študentski servisi in določene zaposlitvene agencije. Študentsko delo ureja Obligacijski zakonik ter posamezne določbe Zakona o delovnih razmerjih.  </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b/>
          <w:bCs/>
          <w:sz w:val="24"/>
          <w:szCs w:val="24"/>
          <w:bdr w:val="none" w:sz="0" w:space="0" w:color="auto" w:frame="1"/>
          <w:lang w:eastAsia="sl-SI"/>
        </w:rPr>
        <w:t>Preko napotnice lahko nekaj dodatnega denarja zaslužite v primeru da:</w:t>
      </w:r>
    </w:p>
    <w:p w:rsidR="00D15C6D" w:rsidRPr="00D15C6D" w:rsidRDefault="00D15C6D" w:rsidP="00D15C6D">
      <w:pPr>
        <w:numPr>
          <w:ilvl w:val="0"/>
          <w:numId w:val="6"/>
        </w:numPr>
        <w:spacing w:after="0" w:line="270" w:lineRule="atLeast"/>
        <w:ind w:left="0"/>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0"/>
          <w:szCs w:val="20"/>
          <w:bdr w:val="none" w:sz="0" w:space="0" w:color="auto" w:frame="1"/>
          <w:lang w:eastAsia="sl-SI"/>
        </w:rPr>
        <w:t>Imate veljavni status dijaka v RS in ste dopolnili 15 let</w:t>
      </w:r>
    </w:p>
    <w:p w:rsidR="00D15C6D" w:rsidRPr="00D15C6D" w:rsidRDefault="00D15C6D" w:rsidP="00D15C6D">
      <w:pPr>
        <w:numPr>
          <w:ilvl w:val="0"/>
          <w:numId w:val="6"/>
        </w:numPr>
        <w:spacing w:after="0" w:line="270" w:lineRule="atLeast"/>
        <w:ind w:left="0"/>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0"/>
          <w:szCs w:val="20"/>
          <w:bdr w:val="none" w:sz="0" w:space="0" w:color="auto" w:frame="1"/>
          <w:lang w:eastAsia="sl-SI"/>
        </w:rPr>
        <w:t>Imate veljavni status študenta v RS</w:t>
      </w:r>
    </w:p>
    <w:p w:rsidR="00D15C6D" w:rsidRPr="00D15C6D" w:rsidRDefault="00D15C6D" w:rsidP="00D15C6D">
      <w:pPr>
        <w:numPr>
          <w:ilvl w:val="0"/>
          <w:numId w:val="6"/>
        </w:numPr>
        <w:spacing w:after="0" w:line="270" w:lineRule="atLeast"/>
        <w:ind w:left="0"/>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0"/>
          <w:szCs w:val="20"/>
          <w:bdr w:val="none" w:sz="0" w:space="0" w:color="auto" w:frame="1"/>
          <w:lang w:eastAsia="sl-SI"/>
        </w:rPr>
        <w:t>Imate veljavni status udeleženca izobraževanja odraslih (javno veljavnega programa osnovnega, poklicnega, srednjega in višjega strokovnega izobraževanja) in niste dopolnili 26 let</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b/>
          <w:bCs/>
          <w:sz w:val="24"/>
          <w:szCs w:val="24"/>
          <w:bdr w:val="none" w:sz="0" w:space="0" w:color="auto" w:frame="1"/>
          <w:lang w:eastAsia="sl-SI"/>
        </w:rPr>
        <w:t>Seveda je tudi nekaj izjem, ko lahko začasno ali občasno delo opravljate preko študentskega servisa. Izjeme veljajo če ste:</w:t>
      </w:r>
    </w:p>
    <w:p w:rsidR="00D15C6D" w:rsidRPr="00D15C6D" w:rsidRDefault="00D15C6D" w:rsidP="00D15C6D">
      <w:pPr>
        <w:numPr>
          <w:ilvl w:val="0"/>
          <w:numId w:val="7"/>
        </w:numPr>
        <w:spacing w:after="0" w:line="270" w:lineRule="atLeast"/>
        <w:ind w:left="0"/>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0"/>
          <w:szCs w:val="20"/>
          <w:bdr w:val="none" w:sz="0" w:space="0" w:color="auto" w:frame="1"/>
          <w:lang w:eastAsia="sl-SI"/>
        </w:rPr>
        <w:t>dijak ali študent, državljan RS, z veljavnim statusom dijaka ali študenta v tujini, kar lahko dokažete s potrdilom o vpisu tuje šole,</w:t>
      </w:r>
    </w:p>
    <w:p w:rsidR="00D15C6D" w:rsidRPr="00D15C6D" w:rsidRDefault="00D15C6D" w:rsidP="00D15C6D">
      <w:pPr>
        <w:numPr>
          <w:ilvl w:val="0"/>
          <w:numId w:val="7"/>
        </w:numPr>
        <w:spacing w:after="0" w:line="270" w:lineRule="atLeast"/>
        <w:ind w:left="0"/>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0"/>
          <w:szCs w:val="20"/>
          <w:bdr w:val="none" w:sz="0" w:space="0" w:color="auto" w:frame="1"/>
          <w:lang w:eastAsia="sl-SI"/>
        </w:rPr>
        <w:lastRenderedPageBreak/>
        <w:t>oseba, ki je zaključila srednjo šolo v tekočem šolskem letu in bo pridobila status študenta ob začetku novega šolskega leta,</w:t>
      </w:r>
    </w:p>
    <w:p w:rsidR="00D15C6D" w:rsidRPr="00D15C6D" w:rsidRDefault="00D15C6D" w:rsidP="00D15C6D">
      <w:pPr>
        <w:numPr>
          <w:ilvl w:val="0"/>
          <w:numId w:val="7"/>
        </w:numPr>
        <w:spacing w:after="0" w:line="270" w:lineRule="atLeast"/>
        <w:ind w:left="0"/>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0"/>
          <w:szCs w:val="20"/>
          <w:bdr w:val="none" w:sz="0" w:space="0" w:color="auto" w:frame="1"/>
          <w:lang w:eastAsia="sl-SI"/>
        </w:rPr>
        <w:t>študent tuje univerze, ki v okviru mednarodne izmenjave opravlja študijske obveznosti v RS</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Izredni študenti so po statusu izenačeni z rednimi študenti in lahko delajo preko študentskega servisa, v kolikor niso zaposleni v rednem delovnem razmerju. Študentsko delo lahko dopolnjujete z avtorsko pogodbo in podjemno pogodbo.</w:t>
      </w:r>
    </w:p>
    <w:p w:rsidR="00D15C6D" w:rsidRPr="00D15C6D" w:rsidRDefault="00D15C6D" w:rsidP="00D15C6D">
      <w:pPr>
        <w:spacing w:after="0" w:line="240" w:lineRule="auto"/>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pict>
          <v:rect id="_x0000_i1028" style="width:0;height:.75pt" o:hralign="center" o:hrstd="t" o:hr="t" fillcolor="#a0a0a0" stroked="f"/>
        </w:pict>
      </w:r>
    </w:p>
    <w:p w:rsidR="00D15C6D" w:rsidRPr="00D15C6D" w:rsidRDefault="00D15C6D" w:rsidP="00D15C6D">
      <w:pPr>
        <w:spacing w:after="0" w:line="240" w:lineRule="auto"/>
        <w:textAlignment w:val="baseline"/>
        <w:outlineLvl w:val="2"/>
        <w:rPr>
          <w:rFonts w:ascii="Arial" w:eastAsia="Times New Roman" w:hAnsi="Arial" w:cs="Arial"/>
          <w:b/>
          <w:bCs/>
          <w:color w:val="333333"/>
          <w:sz w:val="21"/>
          <w:szCs w:val="21"/>
          <w:lang w:eastAsia="sl-SI"/>
        </w:rPr>
      </w:pPr>
      <w:r w:rsidRPr="00D15C6D">
        <w:rPr>
          <w:rFonts w:ascii="inherit" w:eastAsia="Times New Roman" w:hAnsi="inherit" w:cs="Arial"/>
          <w:b/>
          <w:bCs/>
          <w:color w:val="333333"/>
          <w:sz w:val="21"/>
          <w:szCs w:val="21"/>
          <w:bdr w:val="none" w:sz="0" w:space="0" w:color="auto" w:frame="1"/>
          <w:lang w:eastAsia="sl-SI"/>
        </w:rPr>
        <w:t>Akontacija dohodnine od študentskega dela</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Zakon ne postavlja omejitev glede višine prihodkov iz naslova študentskega dela. Vendar mora organizacija (v večini primerov je to vaš študentski servis) davčni upravi odvesti akontacijo dohodnine po 25 % stopnji, če gre za dohodek višji od 400 evrov. To v praksi pomeni, da se dohodnina odvede takoj ob izplačilu zaslužka in ne ob koncu leta. Če zaslužek ne preseže meje 400 evrov, potem se akontacija ne zaračuna in posledično tudi ne plača. Z drugimi besedami, zaslužki do 400 evrov bodo izplačani v celoti (100%). </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Dodajmo še opozorilo, da to velja samo za rezidente. Nerezidentom se akontacija odvaja ob vsakem izplačilu. Tisti, ki so iz držav, s katerimi ima Slovenija podpisan sporazum o izogibanju dvojnega obdavčevanja, lahko vložijo na DURS zahtevo za povračilo akontacije.</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Splošna olajšava se prizna vsakemu zavezancu pod pogojem, da drug rezident zanj ne uveljavlja posebne olajšave za vzdrževanega družinskega člana (konkretno za študente to pomeni, da lahko to olajšavo uveljavljajo, če jih starši ne uveljavljajo v svoji davčni napovedi kot vzdrževane družinske člane).</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Napoved za dohodnino mora oddati vsak rezident, ki je v koledarskem letu imel obdavčljive prihodke višje od splošne olajšave. Napoved je priporočljivo oddati tudi tistim dijakom/študentom, ki pričakujejo vračilo akontacije dohodnine, hkrati pa je znesek njihovih obdavčljivih prihodkov nižji od zneska splošne olajšave v tekočem koledarskem letu. Davčna osnova od dohodka za delo preko študentskega servisa je dohodek, zmanjšan za 10 %.</w:t>
      </w:r>
    </w:p>
    <w:p w:rsidR="00D15C6D" w:rsidRPr="00D15C6D" w:rsidRDefault="00D15C6D" w:rsidP="00D15C6D">
      <w:pPr>
        <w:spacing w:after="0" w:line="240" w:lineRule="auto"/>
        <w:rPr>
          <w:rFonts w:ascii="Times New Roman" w:eastAsia="Times New Roman" w:hAnsi="Times New Roman" w:cs="Times New Roman"/>
          <w:sz w:val="24"/>
          <w:szCs w:val="24"/>
          <w:lang w:eastAsia="sl-SI"/>
        </w:rPr>
      </w:pPr>
      <w:r w:rsidRPr="00D15C6D">
        <w:rPr>
          <w:rFonts w:ascii="Times New Roman" w:eastAsia="Times New Roman" w:hAnsi="Times New Roman" w:cs="Times New Roman"/>
          <w:sz w:val="24"/>
          <w:szCs w:val="24"/>
          <w:lang w:eastAsia="sl-SI"/>
        </w:rPr>
        <w:pict>
          <v:rect id="_x0000_i1029" style="width:0;height:.75pt" o:hralign="center" o:hrstd="t" o:hr="t" fillcolor="#a0a0a0" stroked="f"/>
        </w:pict>
      </w:r>
    </w:p>
    <w:p w:rsidR="00D15C6D" w:rsidRPr="00D15C6D" w:rsidRDefault="00D15C6D" w:rsidP="00D15C6D">
      <w:pPr>
        <w:spacing w:after="0" w:line="240" w:lineRule="auto"/>
        <w:textAlignment w:val="baseline"/>
        <w:outlineLvl w:val="2"/>
        <w:rPr>
          <w:rFonts w:ascii="Arial" w:eastAsia="Times New Roman" w:hAnsi="Arial" w:cs="Arial"/>
          <w:b/>
          <w:bCs/>
          <w:color w:val="333333"/>
          <w:sz w:val="21"/>
          <w:szCs w:val="21"/>
          <w:lang w:eastAsia="sl-SI"/>
        </w:rPr>
      </w:pPr>
      <w:r w:rsidRPr="00D15C6D">
        <w:rPr>
          <w:rFonts w:ascii="inherit" w:eastAsia="Times New Roman" w:hAnsi="inherit" w:cs="Arial"/>
          <w:b/>
          <w:bCs/>
          <w:color w:val="333333"/>
          <w:sz w:val="21"/>
          <w:szCs w:val="21"/>
          <w:bdr w:val="none" w:sz="0" w:space="0" w:color="auto" w:frame="1"/>
          <w:lang w:eastAsia="sl-SI"/>
        </w:rPr>
        <w:t>Uporabne informacije</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Vedno se najdejo kakšni delodajalci, ki nočejo poravnati svojih obveznosti za opravljeno študentsko delo. V tem primeru je najbolje, da imate pri sebi četrti izvod napotnice ali pisni medsebojni dogovor o delu. Če tega nimate, pravzaprav nimate dokazov, da ste delo sploh opravil. Vsekakor se za pomoč v takih situacijah obrnite na študentski servis, ki vam bo pomagal.</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Napotnico je potrebno dvigniti že pred pričetkom dela, delodajalcu pa jo posreduje študentski servis ali študent sam. Pomembno je, da se to stori pred začetkom dela, saj bo v nasprotnem primeru delo potekalo ‘na črno’ in v primeru nezgode ne morate zahtevati odškodnine, v primeru inšpekcijskega pregleda pa bosta kaznovana oba z delodajalcem.</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Napotnica mora biti izdana v štirih izvodih. Da bo veljavna, morajo biti pred začetkom dela vsaj trije izvodi napotnice potrjeni. Dijak ali študent ob začetku dela prejme en izvod potrjene napotnice. Po opravljenem delu delodajalec potrdi in ožigosa napotnico, kar pomeni, da potrjuje opravljeno delo s strani študenta.</w:t>
      </w:r>
    </w:p>
    <w:p w:rsidR="00D15C6D" w:rsidRP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Med delom s posredovanjem študentskega servisa so študentje in dijaki zdravstveno zavarovani na podlagi 17. člena Zakona o zdravstvenem varstvu in zdravstvenem zavarovanju. Za invalidnost, telesno okvaro ali smrt, ki so posledica poškodbe pri delu ali poklicne bolezni, so zavarovani na podlagi Zakona o pokojninskem in invalidskem zavarovanju, ki velja za učence (dijake) srednjih šol oz. študente višjih in visokih šol, ki opravljajo dela preko študentskega servisa. </w:t>
      </w:r>
    </w:p>
    <w:p w:rsidR="00D15C6D" w:rsidRDefault="00D15C6D" w:rsidP="00D15C6D">
      <w:pPr>
        <w:spacing w:after="0" w:line="270" w:lineRule="atLeast"/>
        <w:textAlignment w:val="baseline"/>
        <w:rPr>
          <w:rFonts w:ascii="inherit" w:eastAsia="Times New Roman" w:hAnsi="inherit" w:cs="Times New Roman"/>
          <w:sz w:val="24"/>
          <w:szCs w:val="24"/>
          <w:lang w:eastAsia="sl-SI"/>
        </w:rPr>
      </w:pPr>
      <w:r w:rsidRPr="00D15C6D">
        <w:rPr>
          <w:rFonts w:ascii="inherit" w:eastAsia="Times New Roman" w:hAnsi="inherit" w:cs="Times New Roman"/>
          <w:sz w:val="24"/>
          <w:szCs w:val="24"/>
          <w:lang w:eastAsia="sl-SI"/>
        </w:rPr>
        <w:t>To je nekaj uporabnih informacij, ki jih je dobro poznati, če boste delo opravljali preko študentske napotnice. Slabost študentskega dela je predvsem ta, da se ne upošteva v pokojninsko dobo in ne zagotavlja zavarovanja za primer brezposelnosti in drugih socialnih pravic.</w:t>
      </w:r>
      <w:r w:rsidR="00FC78C4">
        <w:rPr>
          <w:rFonts w:ascii="inherit" w:eastAsia="Times New Roman" w:hAnsi="inherit" w:cs="Times New Roman"/>
          <w:sz w:val="24"/>
          <w:szCs w:val="24"/>
          <w:lang w:eastAsia="sl-SI"/>
        </w:rPr>
        <w:br/>
      </w:r>
      <w:r w:rsidR="00FC78C4">
        <w:rPr>
          <w:rFonts w:ascii="inherit" w:eastAsia="Times New Roman" w:hAnsi="inherit" w:cs="Times New Roman"/>
          <w:sz w:val="24"/>
          <w:szCs w:val="24"/>
          <w:lang w:eastAsia="sl-SI"/>
        </w:rPr>
        <w:lastRenderedPageBreak/>
        <w:br/>
      </w:r>
      <w:r w:rsidR="00FC78C4">
        <w:rPr>
          <w:rFonts w:ascii="inherit" w:eastAsia="Times New Roman" w:hAnsi="inherit" w:cs="Times New Roman"/>
          <w:sz w:val="24"/>
          <w:szCs w:val="24"/>
          <w:lang w:eastAsia="sl-SI"/>
        </w:rPr>
        <w:br/>
      </w:r>
      <w:r w:rsidR="00FC78C4">
        <w:rPr>
          <w:rFonts w:ascii="inherit" w:eastAsia="Times New Roman" w:hAnsi="inherit" w:cs="Times New Roman"/>
          <w:sz w:val="24"/>
          <w:szCs w:val="24"/>
          <w:lang w:eastAsia="sl-SI"/>
        </w:rPr>
        <w:br/>
      </w:r>
      <w:r w:rsidR="00FC78C4">
        <w:rPr>
          <w:rFonts w:ascii="inherit" w:eastAsia="Times New Roman" w:hAnsi="inherit" w:cs="Times New Roman"/>
          <w:sz w:val="24"/>
          <w:szCs w:val="24"/>
          <w:lang w:eastAsia="sl-SI"/>
        </w:rPr>
        <w:br/>
      </w:r>
      <w:r w:rsidR="00FC78C4">
        <w:rPr>
          <w:rFonts w:ascii="inherit" w:eastAsia="Times New Roman" w:hAnsi="inherit" w:cs="Times New Roman"/>
          <w:sz w:val="24"/>
          <w:szCs w:val="24"/>
          <w:lang w:eastAsia="sl-SI"/>
        </w:rPr>
        <w:br/>
      </w:r>
      <w:r w:rsidR="00FC78C4">
        <w:rPr>
          <w:rFonts w:ascii="inherit" w:eastAsia="Times New Roman" w:hAnsi="inherit" w:cs="Times New Roman"/>
          <w:sz w:val="24"/>
          <w:szCs w:val="24"/>
          <w:lang w:eastAsia="sl-SI"/>
        </w:rPr>
        <w:br/>
      </w:r>
      <w:r w:rsidR="00FC78C4">
        <w:rPr>
          <w:rFonts w:ascii="inherit" w:eastAsia="Times New Roman" w:hAnsi="inherit" w:cs="Times New Roman"/>
          <w:sz w:val="24"/>
          <w:szCs w:val="24"/>
          <w:lang w:eastAsia="sl-SI"/>
        </w:rPr>
        <w:br/>
      </w:r>
      <w:r w:rsidR="00FC78C4">
        <w:rPr>
          <w:rFonts w:ascii="inherit" w:eastAsia="Times New Roman" w:hAnsi="inherit" w:cs="Times New Roman"/>
          <w:sz w:val="24"/>
          <w:szCs w:val="24"/>
          <w:lang w:eastAsia="sl-SI"/>
        </w:rPr>
        <w:br/>
      </w:r>
      <w:r w:rsidR="00FC78C4">
        <w:rPr>
          <w:rFonts w:ascii="inherit" w:eastAsia="Times New Roman" w:hAnsi="inherit" w:cs="Times New Roman"/>
          <w:sz w:val="24"/>
          <w:szCs w:val="24"/>
          <w:lang w:eastAsia="sl-SI"/>
        </w:rPr>
        <w:br/>
      </w:r>
      <w:r w:rsidR="00FC78C4">
        <w:rPr>
          <w:rFonts w:ascii="inherit" w:eastAsia="Times New Roman" w:hAnsi="inherit" w:cs="Times New Roman"/>
          <w:sz w:val="24"/>
          <w:szCs w:val="24"/>
          <w:lang w:eastAsia="sl-SI"/>
        </w:rPr>
        <w:br/>
      </w:r>
      <w:hyperlink r:id="rId25" w:history="1">
        <w:r w:rsidR="00FC78C4" w:rsidRPr="00335551">
          <w:rPr>
            <w:rStyle w:val="Hyperlink"/>
            <w:rFonts w:ascii="inherit" w:eastAsia="Times New Roman" w:hAnsi="inherit" w:cs="Times New Roman"/>
            <w:sz w:val="24"/>
            <w:szCs w:val="24"/>
            <w:lang w:eastAsia="sl-SI"/>
          </w:rPr>
          <w:t>https://www.google.si/search?q=po%C4%8Ditni%C5%A1ko+delo&amp;oq=po%C4%8Ditni%C5%A1ko+delo&amp;aqs=chrome..69i57j69i60l4j69i61.2269j0j7&amp;sourceid=chrome&amp;es_sm=122&amp;ie=UTF-8</w:t>
        </w:r>
      </w:hyperlink>
    </w:p>
    <w:p w:rsidR="00FC78C4" w:rsidRPr="00D15C6D" w:rsidRDefault="00FC78C4" w:rsidP="00D15C6D">
      <w:pPr>
        <w:spacing w:after="0" w:line="270" w:lineRule="atLeast"/>
        <w:textAlignment w:val="baseline"/>
        <w:rPr>
          <w:rFonts w:ascii="inherit" w:eastAsia="Times New Roman" w:hAnsi="inherit" w:cs="Times New Roman"/>
          <w:sz w:val="24"/>
          <w:szCs w:val="24"/>
          <w:lang w:eastAsia="sl-SI"/>
        </w:rPr>
      </w:pPr>
      <w:bookmarkStart w:id="0" w:name="_GoBack"/>
      <w:bookmarkEnd w:id="0"/>
    </w:p>
    <w:sectPr w:rsidR="00FC78C4" w:rsidRPr="00D15C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611" w:rsidRDefault="004A0611" w:rsidP="00D15C6D">
      <w:pPr>
        <w:spacing w:after="0" w:line="240" w:lineRule="auto"/>
      </w:pPr>
      <w:r>
        <w:separator/>
      </w:r>
    </w:p>
  </w:endnote>
  <w:endnote w:type="continuationSeparator" w:id="0">
    <w:p w:rsidR="004A0611" w:rsidRDefault="004A0611" w:rsidP="00D15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611" w:rsidRDefault="004A0611" w:rsidP="00D15C6D">
      <w:pPr>
        <w:spacing w:after="0" w:line="240" w:lineRule="auto"/>
      </w:pPr>
      <w:r>
        <w:separator/>
      </w:r>
    </w:p>
  </w:footnote>
  <w:footnote w:type="continuationSeparator" w:id="0">
    <w:p w:rsidR="004A0611" w:rsidRDefault="004A0611" w:rsidP="00D15C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A0F"/>
    <w:multiLevelType w:val="multilevel"/>
    <w:tmpl w:val="E4AA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836C0"/>
    <w:multiLevelType w:val="multilevel"/>
    <w:tmpl w:val="6466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721F2"/>
    <w:multiLevelType w:val="multilevel"/>
    <w:tmpl w:val="0DA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CA19E8"/>
    <w:multiLevelType w:val="multilevel"/>
    <w:tmpl w:val="403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D73C38"/>
    <w:multiLevelType w:val="multilevel"/>
    <w:tmpl w:val="D31E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386A95"/>
    <w:multiLevelType w:val="multilevel"/>
    <w:tmpl w:val="6EDE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D118D8"/>
    <w:multiLevelType w:val="multilevel"/>
    <w:tmpl w:val="89D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6D"/>
    <w:rsid w:val="004A0611"/>
    <w:rsid w:val="00B54DBC"/>
    <w:rsid w:val="00D15C6D"/>
    <w:rsid w:val="00FC78C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450F8-8985-4887-A51B-F40242BF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5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3">
    <w:name w:val="heading 3"/>
    <w:basedOn w:val="Normal"/>
    <w:link w:val="Heading3Char"/>
    <w:uiPriority w:val="9"/>
    <w:qFormat/>
    <w:rsid w:val="00D15C6D"/>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C6D"/>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Strong">
    <w:name w:val="Strong"/>
    <w:basedOn w:val="DefaultParagraphFont"/>
    <w:uiPriority w:val="22"/>
    <w:qFormat/>
    <w:rsid w:val="00D15C6D"/>
    <w:rPr>
      <w:b/>
      <w:bCs/>
    </w:rPr>
  </w:style>
  <w:style w:type="character" w:customStyle="1" w:styleId="apple-converted-space">
    <w:name w:val="apple-converted-space"/>
    <w:basedOn w:val="DefaultParagraphFont"/>
    <w:rsid w:val="00D15C6D"/>
  </w:style>
  <w:style w:type="character" w:styleId="Hyperlink">
    <w:name w:val="Hyperlink"/>
    <w:basedOn w:val="DefaultParagraphFont"/>
    <w:uiPriority w:val="99"/>
    <w:unhideWhenUsed/>
    <w:rsid w:val="00D15C6D"/>
    <w:rPr>
      <w:color w:val="0000FF"/>
      <w:u w:val="single"/>
    </w:rPr>
  </w:style>
  <w:style w:type="character" w:styleId="Emphasis">
    <w:name w:val="Emphasis"/>
    <w:basedOn w:val="DefaultParagraphFont"/>
    <w:uiPriority w:val="20"/>
    <w:qFormat/>
    <w:rsid w:val="00D15C6D"/>
    <w:rPr>
      <w:i/>
      <w:iCs/>
    </w:rPr>
  </w:style>
  <w:style w:type="paragraph" w:styleId="Header">
    <w:name w:val="header"/>
    <w:basedOn w:val="Normal"/>
    <w:link w:val="HeaderChar"/>
    <w:uiPriority w:val="99"/>
    <w:unhideWhenUsed/>
    <w:rsid w:val="00D15C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5C6D"/>
  </w:style>
  <w:style w:type="paragraph" w:styleId="Footer">
    <w:name w:val="footer"/>
    <w:basedOn w:val="Normal"/>
    <w:link w:val="FooterChar"/>
    <w:uiPriority w:val="99"/>
    <w:unhideWhenUsed/>
    <w:rsid w:val="00D15C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5C6D"/>
  </w:style>
  <w:style w:type="paragraph" w:styleId="Quote">
    <w:name w:val="Quote"/>
    <w:basedOn w:val="Normal"/>
    <w:next w:val="Normal"/>
    <w:link w:val="QuoteChar"/>
    <w:uiPriority w:val="29"/>
    <w:qFormat/>
    <w:rsid w:val="00D15C6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15C6D"/>
    <w:rPr>
      <w:i/>
      <w:iCs/>
      <w:color w:val="404040" w:themeColor="text1" w:themeTint="BF"/>
    </w:rPr>
  </w:style>
  <w:style w:type="character" w:customStyle="1" w:styleId="Heading1Char">
    <w:name w:val="Heading 1 Char"/>
    <w:basedOn w:val="DefaultParagraphFont"/>
    <w:link w:val="Heading1"/>
    <w:uiPriority w:val="9"/>
    <w:rsid w:val="00D15C6D"/>
    <w:rPr>
      <w:rFonts w:ascii="Times New Roman" w:eastAsia="Times New Roman" w:hAnsi="Times New Roman" w:cs="Times New Roman"/>
      <w:b/>
      <w:bCs/>
      <w:kern w:val="36"/>
      <w:sz w:val="48"/>
      <w:szCs w:val="48"/>
      <w:lang w:eastAsia="sl-SI"/>
    </w:rPr>
  </w:style>
  <w:style w:type="character" w:customStyle="1" w:styleId="Heading3Char">
    <w:name w:val="Heading 3 Char"/>
    <w:basedOn w:val="DefaultParagraphFont"/>
    <w:link w:val="Heading3"/>
    <w:uiPriority w:val="9"/>
    <w:rsid w:val="00D15C6D"/>
    <w:rPr>
      <w:rFonts w:ascii="Times New Roman" w:eastAsia="Times New Roman" w:hAnsi="Times New Roman" w:cs="Times New Roman"/>
      <w:b/>
      <w:bCs/>
      <w:sz w:val="27"/>
      <w:szCs w:val="27"/>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65408">
      <w:bodyDiv w:val="1"/>
      <w:marLeft w:val="0"/>
      <w:marRight w:val="0"/>
      <w:marTop w:val="0"/>
      <w:marBottom w:val="0"/>
      <w:divBdr>
        <w:top w:val="none" w:sz="0" w:space="0" w:color="auto"/>
        <w:left w:val="none" w:sz="0" w:space="0" w:color="auto"/>
        <w:bottom w:val="none" w:sz="0" w:space="0" w:color="auto"/>
        <w:right w:val="none" w:sz="0" w:space="0" w:color="auto"/>
      </w:divBdr>
      <w:divsChild>
        <w:div w:id="744111050">
          <w:marLeft w:val="180"/>
          <w:marRight w:val="0"/>
          <w:marTop w:val="300"/>
          <w:marBottom w:val="0"/>
          <w:divBdr>
            <w:top w:val="none" w:sz="0" w:space="0" w:color="auto"/>
            <w:left w:val="none" w:sz="0" w:space="0" w:color="auto"/>
            <w:bottom w:val="none" w:sz="0" w:space="0" w:color="auto"/>
            <w:right w:val="none" w:sz="0" w:space="0" w:color="auto"/>
          </w:divBdr>
        </w:div>
      </w:divsChild>
    </w:div>
    <w:div w:id="174922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placniki.info/" TargetMode="External"/><Relationship Id="rId13" Type="http://schemas.openxmlformats.org/officeDocument/2006/relationships/hyperlink" Target="http://www.uradni-list.si/1/objava.jsp?urlurid=20064833" TargetMode="External"/><Relationship Id="rId18" Type="http://schemas.openxmlformats.org/officeDocument/2006/relationships/hyperlink" Target="http://www.uradni-list.si/1/objava.jsp?urlurid=2012170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uradni-list.si/1/objava.jsp?urlurid=20133600" TargetMode="External"/><Relationship Id="rId7" Type="http://schemas.openxmlformats.org/officeDocument/2006/relationships/hyperlink" Target="http://www.mddsz.gov.si/fileadmin/mddsz.gov.si/pageuploads/dokumenti__pdf/excel/dpd/Studentske_koncesije_za_leto_2014_-_18.7.14.xls" TargetMode="External"/><Relationship Id="rId12" Type="http://schemas.openxmlformats.org/officeDocument/2006/relationships/hyperlink" Target="http://www.uradni-list.si/1/objava.jsp?urlurid=20064584" TargetMode="External"/><Relationship Id="rId17" Type="http://schemas.openxmlformats.org/officeDocument/2006/relationships/hyperlink" Target="http://www.uradni-list.si/1/objava.jsp?urlurid=20104304" TargetMode="External"/><Relationship Id="rId25" Type="http://schemas.openxmlformats.org/officeDocument/2006/relationships/hyperlink" Target="https://www.google.si/search?q=po%C4%8Ditni%C5%A1ko+delo&amp;oq=po%C4%8Ditni%C5%A1ko+delo&amp;aqs=chrome..69i57j69i60l4j69i61.2269j0j7&amp;sourceid=chrome&amp;es_sm=122&amp;ie=UTF-8" TargetMode="External"/><Relationship Id="rId2" Type="http://schemas.openxmlformats.org/officeDocument/2006/relationships/styles" Target="styles.xml"/><Relationship Id="rId16" Type="http://schemas.openxmlformats.org/officeDocument/2006/relationships/hyperlink" Target="http://www.uradni-list.si/1/objava.jsp?urlurid=20104304" TargetMode="External"/><Relationship Id="rId20" Type="http://schemas.openxmlformats.org/officeDocument/2006/relationships/hyperlink" Target="http://www.uradni-list.si/1/objava.jsp?urlurid=201325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radni-list.si/1/objava.jsp?urlurid=2013784" TargetMode="External"/><Relationship Id="rId24" Type="http://schemas.openxmlformats.org/officeDocument/2006/relationships/hyperlink" Target="http://www.mojedelo.com/isci/napredno?q=&amp;empTypes=6" TargetMode="External"/><Relationship Id="rId5" Type="http://schemas.openxmlformats.org/officeDocument/2006/relationships/footnotes" Target="footnotes.xml"/><Relationship Id="rId15" Type="http://schemas.openxmlformats.org/officeDocument/2006/relationships/hyperlink" Target="http://www.uradni-list.si/1/objava.jsp?urlurid=20102769" TargetMode="External"/><Relationship Id="rId23" Type="http://schemas.openxmlformats.org/officeDocument/2006/relationships/image" Target="media/image1.jpeg"/><Relationship Id="rId10" Type="http://schemas.openxmlformats.org/officeDocument/2006/relationships/hyperlink" Target="http://www.durs.gov.si/si/davki_predpisi_in_pojasnila/dohodnina_pojasnila/stopnje_dohodnine_za_leto_2014/lestvica_za_odmero_dohodnine_in_olajsave_za_leto_2014/" TargetMode="External"/><Relationship Id="rId19" Type="http://schemas.openxmlformats.org/officeDocument/2006/relationships/hyperlink" Target="http://www.uradni-list.si/1/objava.jsp?urlurid=2013785" TargetMode="External"/><Relationship Id="rId4" Type="http://schemas.openxmlformats.org/officeDocument/2006/relationships/webSettings" Target="webSettings.xml"/><Relationship Id="rId9" Type="http://schemas.openxmlformats.org/officeDocument/2006/relationships/hyperlink" Target="http://www.studentski-servis.com/O-nas/Poslovalnice" TargetMode="External"/><Relationship Id="rId14" Type="http://schemas.openxmlformats.org/officeDocument/2006/relationships/hyperlink" Target="http://www.uradni-list.si/1/objava.jsp?urlurid=20073157" TargetMode="External"/><Relationship Id="rId22" Type="http://schemas.openxmlformats.org/officeDocument/2006/relationships/hyperlink" Target="http://www.uradni-list.si/1/objava.jsp?urlurid=2014132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Roglan</dc:creator>
  <cp:keywords/>
  <dc:description/>
  <cp:lastModifiedBy>Roglan</cp:lastModifiedBy>
  <cp:revision>1</cp:revision>
  <dcterms:created xsi:type="dcterms:W3CDTF">2014-11-27T18:14:00Z</dcterms:created>
  <dcterms:modified xsi:type="dcterms:W3CDTF">2014-11-27T20:46:00Z</dcterms:modified>
</cp:coreProperties>
</file>